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黑体"/>
          <w:sz w:val="32"/>
        </w:rPr>
        <w:t>附件2</w:t>
      </w:r>
    </w:p>
    <w:p>
      <w:pPr>
        <w:spacing w:before="156" w:beforeLines="50" w:after="468" w:afterLines="150" w:line="600" w:lineRule="exact"/>
        <w:jc w:val="center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z w:val="36"/>
          <w:szCs w:val="36"/>
        </w:rPr>
        <w:t>中国水产学会2021年度优秀科技论文</w:t>
      </w:r>
      <w:r>
        <w:rPr>
          <w:rFonts w:ascii="Times New Roman" w:hAnsi="Times New Roman" w:eastAsia="方正小标宋简体"/>
          <w:bCs/>
          <w:sz w:val="36"/>
          <w:szCs w:val="36"/>
        </w:rPr>
        <w:t>学科划分表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48"/>
              </w:rPr>
            </w:pPr>
            <w:r>
              <w:rPr>
                <w:rFonts w:ascii="Times New Roman" w:hAnsi="Times New Roman" w:eastAsia="黑体"/>
                <w:sz w:val="28"/>
                <w:szCs w:val="48"/>
              </w:rPr>
              <w:t>序号</w:t>
            </w:r>
          </w:p>
        </w:tc>
        <w:tc>
          <w:tcPr>
            <w:tcW w:w="7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48"/>
              </w:rPr>
            </w:pPr>
            <w:r>
              <w:rPr>
                <w:rFonts w:ascii="Times New Roman" w:hAnsi="Times New Roman" w:eastAsia="黑体"/>
                <w:sz w:val="28"/>
                <w:szCs w:val="48"/>
              </w:rPr>
              <w:t>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1</w:t>
            </w:r>
          </w:p>
        </w:tc>
        <w:tc>
          <w:tcPr>
            <w:tcW w:w="7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水产绿色健康养殖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2</w:t>
            </w:r>
          </w:p>
        </w:tc>
        <w:tc>
          <w:tcPr>
            <w:tcW w:w="7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水产生物技术与遗传育种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3</w:t>
            </w:r>
          </w:p>
        </w:tc>
        <w:tc>
          <w:tcPr>
            <w:tcW w:w="7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水产养殖动物营养与饲料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4</w:t>
            </w:r>
          </w:p>
        </w:tc>
        <w:tc>
          <w:tcPr>
            <w:tcW w:w="7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水产病害防治与水产品质量安全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5</w:t>
            </w:r>
          </w:p>
        </w:tc>
        <w:tc>
          <w:tcPr>
            <w:tcW w:w="7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可持续捕捞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6</w:t>
            </w:r>
          </w:p>
        </w:tc>
        <w:tc>
          <w:tcPr>
            <w:tcW w:w="7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水生生物资源养护与水域生态修复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7</w:t>
            </w:r>
          </w:p>
        </w:tc>
        <w:tc>
          <w:tcPr>
            <w:tcW w:w="7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水产品加工与综合利用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8</w:t>
            </w:r>
          </w:p>
        </w:tc>
        <w:tc>
          <w:tcPr>
            <w:tcW w:w="7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休闲渔业与渔文化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9</w:t>
            </w:r>
          </w:p>
        </w:tc>
        <w:tc>
          <w:tcPr>
            <w:tcW w:w="7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现代渔业设施装备与信息化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10</w:t>
            </w:r>
          </w:p>
        </w:tc>
        <w:tc>
          <w:tcPr>
            <w:tcW w:w="7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sz w:val="28"/>
                <w:szCs w:val="48"/>
              </w:rPr>
            </w:pPr>
            <w:r>
              <w:rPr>
                <w:rFonts w:ascii="Times New Roman" w:hAnsi="Times New Roman"/>
                <w:color w:val="000000"/>
                <w:sz w:val="28"/>
                <w:szCs w:val="48"/>
              </w:rPr>
              <w:t>渔业经济、政策与管理</w:t>
            </w:r>
          </w:p>
        </w:tc>
      </w:tr>
    </w:tbl>
    <w:p>
      <w:pPr>
        <w:snapToGrid w:val="0"/>
        <w:spacing w:line="600" w:lineRule="exact"/>
        <w:rPr>
          <w:rFonts w:ascii="Times New Roman" w:hAnsi="Times New Roman" w:eastAsia="黑体"/>
          <w:sz w:val="32"/>
        </w:rPr>
      </w:pPr>
    </w:p>
    <w:p>
      <w:pPr>
        <w:snapToGrid w:val="0"/>
        <w:spacing w:line="600" w:lineRule="exact"/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51652"/>
    <w:rsid w:val="237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2021-07-05T03:26:00Z</dcterms:created>
  <dc:creator>Administrator</dc:creator>
  <cp:lastModifiedBy>Q</cp:lastModifiedBy>
  <dcterms:modified xsi:type="dcterms:W3CDTF">2021-07-05T03:44:12Z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