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5391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3DDBC13">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4C84FF0A">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60D3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92E7D9E">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CAA174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795E620">
                  <w:pPr>
                    <w:pStyle w:val="51"/>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SCSF</w:t>
                  </w:r>
                  <w:r>
                    <w:fldChar w:fldCharType="end"/>
                  </w:r>
                  <w:bookmarkEnd w:id="1"/>
                </w:p>
              </w:tc>
            </w:tr>
          </w:tbl>
          <w:p w14:paraId="644C5E87">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 xml:space="preserve">B </w:t>
            </w:r>
            <w:r>
              <w:rPr>
                <w:rFonts w:ascii="黑体" w:hAnsi="黑体" w:eastAsia="黑体"/>
                <w:sz w:val="21"/>
                <w:szCs w:val="21"/>
              </w:rPr>
              <w:fldChar w:fldCharType="end"/>
            </w:r>
            <w:bookmarkEnd w:id="2"/>
          </w:p>
        </w:tc>
      </w:tr>
    </w:tbl>
    <w:p w14:paraId="24B468B0">
      <w:pPr>
        <w:pStyle w:val="52"/>
        <w:framePr w:w="7023" w:h="589" w:hRule="exact" w:hSpace="181" w:vSpace="181" w:wrap="around" w:hAnchor="page" w:x="2820" w:y="2413"/>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820E11C">
      <w:pPr>
        <w:pStyle w:val="197"/>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SCSF</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6068B959">
      <w:pPr>
        <w:pStyle w:val="198"/>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2C9B84CB">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5422414">
      <w:pPr>
        <w:pStyle w:val="52"/>
        <w:framePr w:w="9639" w:h="6976" w:hRule="exact" w:hSpace="0" w:vSpace="0" w:wrap="around" w:hAnchor="page" w:y="6408"/>
        <w:jc w:val="center"/>
        <w:rPr>
          <w:rFonts w:ascii="黑体" w:hAnsi="黑体" w:eastAsia="黑体"/>
          <w:b w:val="0"/>
          <w:bCs w:val="0"/>
          <w:w w:val="100"/>
        </w:rPr>
      </w:pPr>
    </w:p>
    <w:p w14:paraId="356F0648">
      <w:pPr>
        <w:pStyle w:val="199"/>
        <w:framePr w:h="6974" w:hRule="exact" w:wrap="around" w:x="1419" w:anchorLock="1"/>
        <w:ind w:left="2600" w:hanging="2600" w:hangingChars="500"/>
        <w:jc w:val="both"/>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水产养殖调水用品安全性评价技术规范  第</w:t>
      </w:r>
      <w:r>
        <w:rPr>
          <w:rFonts w:hint="eastAsia"/>
          <w:lang w:val="en-US" w:eastAsia="zh-CN"/>
        </w:rPr>
        <w:t>2</w:t>
      </w:r>
      <w:r>
        <w:rPr>
          <w:rFonts w:hint="eastAsia"/>
        </w:rPr>
        <w:t>部分：生物类</w:t>
      </w:r>
      <w:r>
        <w:fldChar w:fldCharType="end"/>
      </w:r>
      <w:bookmarkEnd w:id="8"/>
    </w:p>
    <w:p w14:paraId="7F50CB06">
      <w:pPr>
        <w:framePr w:w="9639" w:h="6974" w:hRule="exact" w:wrap="around" w:vAnchor="page" w:hAnchor="page" w:x="1419" w:y="6408" w:anchorLock="1"/>
        <w:ind w:left="-1418"/>
      </w:pPr>
    </w:p>
    <w:p w14:paraId="5989A156">
      <w:pPr>
        <w:pStyle w:val="127"/>
        <w:framePr w:w="9639" w:h="6974" w:hRule="exact" w:wrap="around" w:vAnchor="page" w:hAnchor="page" w:x="1419" w:y="6408" w:anchorLock="1"/>
        <w:pBdr>
          <w:top w:val="none" w:color="auto" w:sz="0" w:space="0"/>
          <w:left w:val="none" w:color="auto" w:sz="0" w:space="0"/>
          <w:bottom w:val="none" w:color="auto" w:sz="0" w:space="0"/>
          <w:right w:val="none" w:color="auto" w:sz="0" w:space="0"/>
        </w:pBdr>
        <w:textAlignment w:val="bottom"/>
        <w:rPr>
          <w:rFonts w:hint="eastAsia"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safety assessment of aquacultural water conditioning supplies</w:t>
      </w:r>
    </w:p>
    <w:p w14:paraId="0FFF3956">
      <w:pPr>
        <w:pStyle w:val="127"/>
        <w:framePr w:w="9639" w:h="6974" w:hRule="exact" w:wrap="around" w:vAnchor="page" w:hAnchor="page" w:x="1419" w:y="6408" w:anchorLock="1"/>
        <w:textAlignment w:val="bottom"/>
        <w:rPr>
          <w:rFonts w:eastAsia="黑体"/>
          <w:szCs w:val="28"/>
        </w:rPr>
      </w:pPr>
      <w:r>
        <w:rPr>
          <w:rFonts w:hint="eastAsia" w:eastAsia="黑体"/>
          <w:szCs w:val="28"/>
        </w:rPr>
        <w:t>Part 2：Biological agents</w:t>
      </w:r>
      <w:r>
        <w:rPr>
          <w:rFonts w:eastAsia="黑体"/>
          <w:szCs w:val="28"/>
        </w:rPr>
        <w:fldChar w:fldCharType="end"/>
      </w:r>
      <w:bookmarkEnd w:id="9"/>
    </w:p>
    <w:p w14:paraId="4D474A98">
      <w:pPr>
        <w:framePr w:w="9639" w:h="6974" w:hRule="exact" w:wrap="around" w:vAnchor="page" w:hAnchor="page" w:x="1419" w:y="6408" w:anchorLock="1"/>
        <w:spacing w:line="760" w:lineRule="exact"/>
        <w:ind w:left="-1418"/>
      </w:pPr>
    </w:p>
    <w:p w14:paraId="43058575">
      <w:pPr>
        <w:pStyle w:val="127"/>
        <w:framePr w:w="9639" w:h="6974" w:hRule="exact" w:wrap="around" w:vAnchor="page" w:hAnchor="page" w:x="1419" w:y="6408" w:anchorLock="1"/>
        <w:textAlignment w:val="bottom"/>
        <w:rPr>
          <w:rFonts w:eastAsia="黑体"/>
          <w:szCs w:val="28"/>
        </w:rPr>
      </w:pPr>
    </w:p>
    <w:p w14:paraId="45DDA3FC">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62E8C327">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16938962">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350A42C1">
      <w:pPr>
        <w:pStyle w:val="195"/>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65AFAAE5">
      <w:pPr>
        <w:pStyle w:val="196"/>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1F3C09A8">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Ansi="黑体"/>
          <w:w w:val="100"/>
          <w:sz w:val="28"/>
        </w:rPr>
        <w:t>中</w:t>
      </w:r>
      <w:r>
        <w:rPr>
          <w:rFonts w:hint="eastAsia" w:hAnsi="黑体"/>
          <w:w w:val="100"/>
          <w:sz w:val="28"/>
        </w:rPr>
        <w:t>国水产学会</w:t>
      </w:r>
      <w:r>
        <w:rPr>
          <w:rFonts w:hAnsi="黑体"/>
          <w:w w:val="100"/>
          <w:sz w:val="28"/>
        </w:rPr>
        <w:fldChar w:fldCharType="end"/>
      </w:r>
      <w:bookmarkEnd w:id="19"/>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5D4B2C2D">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7EA9264">
      <w:pPr>
        <w:jc w:val="center"/>
        <w:rPr>
          <w:b/>
          <w:bCs/>
          <w:sz w:val="32"/>
          <w:szCs w:val="32"/>
        </w:rPr>
      </w:pPr>
      <w:bookmarkStart w:id="20" w:name="BookMark2"/>
      <w:r>
        <w:rPr>
          <w:b/>
          <w:bCs/>
          <w:spacing w:val="320"/>
          <w:sz w:val="32"/>
          <w:szCs w:val="32"/>
        </w:rPr>
        <w:t>前</w:t>
      </w:r>
      <w:r>
        <w:rPr>
          <w:b/>
          <w:bCs/>
          <w:sz w:val="32"/>
          <w:szCs w:val="32"/>
        </w:rPr>
        <w:t>言</w:t>
      </w:r>
    </w:p>
    <w:p w14:paraId="6CFECA36">
      <w:pPr>
        <w:pStyle w:val="58"/>
        <w:ind w:firstLine="420"/>
      </w:pPr>
    </w:p>
    <w:p w14:paraId="05A06930">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本文件按照GB/T 1.1</w:t>
      </w:r>
      <w:bookmarkStart w:id="21" w:name="_Hlk177574550"/>
      <w:r>
        <w:rPr>
          <w:rFonts w:hint="default" w:ascii="Times New Roman" w:hAnsi="Times New Roman" w:cs="Times New Roman"/>
        </w:rPr>
        <w:t>—</w:t>
      </w:r>
      <w:bookmarkEnd w:id="21"/>
      <w:r>
        <w:rPr>
          <w:rFonts w:hint="default" w:ascii="Times New Roman" w:hAnsi="Times New Roman" w:cs="Times New Roman"/>
        </w:rPr>
        <w:t>2020《标准化工作导则 第1部分：标准化文件的结构和起草规则</w:t>
      </w:r>
      <w:bookmarkStart w:id="22" w:name="_Hlk178132702"/>
      <w:r>
        <w:rPr>
          <w:rFonts w:hint="default" w:ascii="Times New Roman" w:hAnsi="Times New Roman" w:cs="Times New Roman"/>
        </w:rPr>
        <w:t>》</w:t>
      </w:r>
      <w:bookmarkEnd w:id="22"/>
      <w:r>
        <w:rPr>
          <w:rFonts w:hint="default" w:ascii="Times New Roman" w:hAnsi="Times New Roman" w:cs="Times New Roman"/>
        </w:rPr>
        <w:t>的规定起草。</w:t>
      </w:r>
    </w:p>
    <w:p w14:paraId="176548E7">
      <w:pPr>
        <w:pStyle w:val="233"/>
        <w:keepNext w:val="0"/>
        <w:keepLines w:val="0"/>
        <w:pageBreakBefore w:val="0"/>
        <w:widowControl/>
        <w:kinsoku/>
        <w:wordWrap/>
        <w:overflowPunct/>
        <w:topLinePunct w:val="0"/>
        <w:autoSpaceDE w:val="0"/>
        <w:autoSpaceDN w:val="0"/>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lang w:val="en-US" w:eastAsia="zh-CN"/>
        </w:rPr>
        <w:t>本文件是</w:t>
      </w:r>
      <w:r>
        <w:rPr>
          <w:rFonts w:hint="default" w:ascii="Times New Roman" w:hAnsi="Times New Roman" w:cs="Times New Roman"/>
        </w:rPr>
        <w:t>T/SCSF***《水产养殖用调水用品生物安全性评价技术规范》</w:t>
      </w:r>
      <w:r>
        <w:rPr>
          <w:rFonts w:hint="default" w:ascii="Times New Roman" w:hAnsi="Times New Roman" w:cs="Times New Roman"/>
          <w:lang w:val="en-US" w:eastAsia="zh-CN"/>
        </w:rPr>
        <w:t>的第</w:t>
      </w:r>
      <w:r>
        <w:rPr>
          <w:rFonts w:hint="eastAsia" w:ascii="Times New Roman" w:hAnsi="Times New Roman" w:cs="Times New Roman"/>
          <w:lang w:val="en-US" w:eastAsia="zh-CN"/>
        </w:rPr>
        <w:t>2</w:t>
      </w:r>
      <w:r>
        <w:rPr>
          <w:rFonts w:hint="default" w:ascii="Times New Roman" w:hAnsi="Times New Roman" w:cs="Times New Roman"/>
          <w:lang w:val="en-US" w:eastAsia="zh-CN"/>
        </w:rPr>
        <w:t>部分。</w:t>
      </w:r>
      <w:r>
        <w:rPr>
          <w:rFonts w:hint="default" w:ascii="Times New Roman" w:hAnsi="Times New Roman" w:cs="Times New Roman"/>
        </w:rPr>
        <w:t>T/SCSF***</w:t>
      </w:r>
      <w:r>
        <w:rPr>
          <w:rFonts w:hint="default" w:ascii="Times New Roman" w:hAnsi="Times New Roman" w:cs="Times New Roman"/>
          <w:lang w:val="en-US" w:eastAsia="zh-CN"/>
        </w:rPr>
        <w:t>已经发布了以下</w:t>
      </w:r>
      <w:r>
        <w:rPr>
          <w:rFonts w:hint="default" w:ascii="Times New Roman" w:hAnsi="Times New Roman" w:cs="Times New Roman"/>
        </w:rPr>
        <w:t>部分：</w:t>
      </w:r>
    </w:p>
    <w:p w14:paraId="23AA8995">
      <w:pPr>
        <w:pStyle w:val="233"/>
        <w:keepNext w:val="0"/>
        <w:keepLines w:val="0"/>
        <w:pageBreakBefore w:val="0"/>
        <w:widowControl/>
        <w:kinsoku/>
        <w:wordWrap/>
        <w:overflowPunct/>
        <w:topLinePunct w:val="0"/>
        <w:autoSpaceDE w:val="0"/>
        <w:autoSpaceDN w:val="0"/>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rPr>
        <w:t>——第1部分：化学类</w:t>
      </w:r>
      <w:bookmarkStart w:id="52" w:name="_GoBack"/>
      <w:bookmarkEnd w:id="52"/>
    </w:p>
    <w:p w14:paraId="606CCD6D">
      <w:pPr>
        <w:pStyle w:val="233"/>
        <w:keepNext w:val="0"/>
        <w:keepLines w:val="0"/>
        <w:pageBreakBefore w:val="0"/>
        <w:widowControl/>
        <w:kinsoku/>
        <w:wordWrap/>
        <w:overflowPunct/>
        <w:topLinePunct w:val="0"/>
        <w:autoSpaceDE w:val="0"/>
        <w:autoSpaceDN w:val="0"/>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rPr>
        <w:t>——第2部分：生物类</w:t>
      </w:r>
    </w:p>
    <w:p w14:paraId="35234F41">
      <w:pPr>
        <w:pStyle w:val="233"/>
        <w:keepNext w:val="0"/>
        <w:keepLines w:val="0"/>
        <w:pageBreakBefore w:val="0"/>
        <w:widowControl/>
        <w:kinsoku/>
        <w:wordWrap/>
        <w:overflowPunct/>
        <w:topLinePunct w:val="0"/>
        <w:autoSpaceDE w:val="0"/>
        <w:autoSpaceDN w:val="0"/>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rPr>
        <w:t>请注意本文件的某些内容可能涉及专利。本文件的发布机构不承担识别这些专利的责任。</w:t>
      </w:r>
    </w:p>
    <w:p w14:paraId="1116147A">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本文件由中国水产学会归口。</w:t>
      </w:r>
    </w:p>
    <w:p w14:paraId="69E48FDB">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本文件起草单位：全国水产技术推广总站</w:t>
      </w:r>
    </w:p>
    <w:p w14:paraId="2C0FD6B6">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pPr>
      <w:r>
        <w:rPr>
          <w:rFonts w:hint="default" w:ascii="Times New Roman" w:hAnsi="Times New Roman" w:cs="Times New Roman"/>
        </w:rPr>
        <w:t>本文件主要起草人：</w:t>
      </w:r>
    </w:p>
    <w:p w14:paraId="51FB19AE">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rPr>
        <w:sectPr>
          <w:headerReference r:id="rId12" w:type="first"/>
          <w:headerReference r:id="rId10" w:type="default"/>
          <w:footerReference r:id="rId13" w:type="default"/>
          <w:headerReference r:id="rId11" w:type="even"/>
          <w:pgSz w:w="11906" w:h="16838"/>
          <w:pgMar w:top="1928" w:right="1134" w:bottom="1134" w:left="1134" w:header="1418" w:footer="1134" w:gutter="284"/>
          <w:pgNumType w:fmt="upperRoman" w:start="1"/>
          <w:cols w:space="425" w:num="1"/>
          <w:formProt w:val="0"/>
          <w:docGrid w:linePitch="312" w:charSpace="0"/>
        </w:sectPr>
      </w:pPr>
    </w:p>
    <w:bookmarkEnd w:id="20"/>
    <w:p w14:paraId="29150D97">
      <w:pPr>
        <w:spacing w:line="20" w:lineRule="exact"/>
        <w:jc w:val="center"/>
        <w:rPr>
          <w:rFonts w:ascii="黑体" w:hAnsi="黑体" w:eastAsia="黑体"/>
          <w:sz w:val="32"/>
          <w:szCs w:val="32"/>
        </w:rPr>
      </w:pPr>
      <w:bookmarkStart w:id="23" w:name="BookMark4"/>
    </w:p>
    <w:p w14:paraId="27B72A7B">
      <w:pPr>
        <w:spacing w:line="20" w:lineRule="exact"/>
        <w:jc w:val="center"/>
        <w:rPr>
          <w:rFonts w:ascii="黑体" w:hAnsi="黑体" w:eastAsia="黑体"/>
          <w:sz w:val="32"/>
          <w:szCs w:val="32"/>
        </w:rPr>
      </w:pPr>
    </w:p>
    <w:sdt>
      <w:sdtPr>
        <w:tag w:val="NEW_STAND_NAME"/>
        <w:id w:val="595910757"/>
        <w:lock w:val="sdtLocked"/>
        <w:placeholder>
          <w:docPart w:val="5A3A2D58D6D849859A51C62D26ECAB3F"/>
        </w:placeholder>
      </w:sdtPr>
      <w:sdtContent>
        <w:p w14:paraId="55CFAD14">
          <w:pPr>
            <w:pStyle w:val="179"/>
            <w:keepNext w:val="0"/>
            <w:keepLines w:val="0"/>
            <w:pageBreakBefore w:val="0"/>
            <w:widowControl/>
            <w:kinsoku/>
            <w:wordWrap/>
            <w:overflowPunct/>
            <w:topLinePunct w:val="0"/>
            <w:autoSpaceDE/>
            <w:autoSpaceDN/>
            <w:bidi w:val="0"/>
            <w:adjustRightInd/>
            <w:snapToGrid/>
            <w:spacing w:before="640" w:after="560"/>
            <w:textAlignment w:val="auto"/>
          </w:pPr>
          <w:bookmarkStart w:id="24" w:name="NEW_STAND_NAME"/>
          <w:r>
            <w:rPr>
              <w:rFonts w:hint="eastAsia"/>
            </w:rPr>
            <w:t>水产养殖调水用品安全性评价技术规范 第</w:t>
          </w:r>
          <w:r>
            <w:rPr>
              <w:rFonts w:hint="eastAsia"/>
              <w:lang w:val="en-US" w:eastAsia="zh-CN"/>
            </w:rPr>
            <w:t>2</w:t>
          </w:r>
          <w:r>
            <w:rPr>
              <w:rFonts w:hint="eastAsia"/>
            </w:rPr>
            <w:t>部分：生物类</w:t>
          </w:r>
        </w:p>
      </w:sdtContent>
    </w:sdt>
    <w:bookmarkEnd w:id="24"/>
    <w:p w14:paraId="1B2FC524">
      <w:pPr>
        <w:pStyle w:val="106"/>
        <w:spacing w:before="240" w:after="240"/>
      </w:pPr>
      <w:bookmarkStart w:id="25" w:name="_Toc17233325"/>
      <w:bookmarkStart w:id="26" w:name="_Toc26986530"/>
      <w:bookmarkStart w:id="27" w:name="_Toc26986771"/>
      <w:bookmarkStart w:id="28" w:name="_Toc26718930"/>
      <w:bookmarkStart w:id="29" w:name="_Toc97192964"/>
      <w:bookmarkStart w:id="30" w:name="_Toc24884211"/>
      <w:bookmarkStart w:id="31" w:name="_Toc17233333"/>
      <w:bookmarkStart w:id="32" w:name="_Toc24884218"/>
      <w:bookmarkStart w:id="33" w:name="_Toc26648465"/>
      <w:r>
        <w:rPr>
          <w:rFonts w:hint="eastAsia"/>
        </w:rPr>
        <w:t>范围</w:t>
      </w:r>
      <w:bookmarkEnd w:id="25"/>
      <w:bookmarkEnd w:id="26"/>
      <w:bookmarkEnd w:id="27"/>
      <w:bookmarkEnd w:id="28"/>
      <w:bookmarkEnd w:id="29"/>
      <w:bookmarkEnd w:id="30"/>
      <w:bookmarkEnd w:id="31"/>
      <w:bookmarkEnd w:id="32"/>
      <w:bookmarkEnd w:id="33"/>
    </w:p>
    <w:p w14:paraId="2821CFA3">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bookmarkStart w:id="34" w:name="_Toc26648466"/>
      <w:bookmarkStart w:id="35" w:name="_Toc24884219"/>
      <w:bookmarkStart w:id="36" w:name="_Toc17233326"/>
      <w:bookmarkStart w:id="37" w:name="_Toc24884212"/>
      <w:bookmarkStart w:id="38" w:name="_Toc17233334"/>
      <w:r>
        <w:rPr>
          <w:rFonts w:hint="default" w:ascii="Times New Roman" w:hAnsi="Times New Roman" w:cs="Times New Roman"/>
          <w:spacing w:val="0"/>
          <w:w w:val="100"/>
        </w:rPr>
        <w:t>本文件规定了水产养殖调水用品（</w:t>
      </w:r>
      <w:r>
        <w:rPr>
          <w:rFonts w:hint="default" w:ascii="Times New Roman" w:hAnsi="Times New Roman" w:cs="Times New Roman"/>
          <w:spacing w:val="0"/>
          <w:w w:val="100"/>
          <w:lang w:val="en-US" w:eastAsia="zh-CN"/>
        </w:rPr>
        <w:t>生物</w:t>
      </w:r>
      <w:r>
        <w:rPr>
          <w:rFonts w:hint="default" w:ascii="Times New Roman" w:hAnsi="Times New Roman" w:cs="Times New Roman"/>
          <w:spacing w:val="0"/>
          <w:w w:val="100"/>
        </w:rPr>
        <w:t>类）安全性评价的要求、评价内容与方法、评价程序、评价结果、报告和资料存档。</w:t>
      </w:r>
    </w:p>
    <w:p w14:paraId="37C7634D">
      <w:pPr>
        <w:pStyle w:val="58"/>
        <w:keepNext w:val="0"/>
        <w:keepLines w:val="0"/>
        <w:pageBreakBefore w:val="0"/>
        <w:widowControl/>
        <w:kinsoku/>
        <w:wordWrap/>
        <w:overflowPunct/>
        <w:topLinePunct w:val="0"/>
        <w:bidi w:val="0"/>
        <w:adjustRightInd/>
        <w:snapToGrid/>
        <w:spacing w:line="276" w:lineRule="auto"/>
        <w:ind w:firstLine="420"/>
        <w:textAlignment w:val="auto"/>
        <w:rPr>
          <w:rFonts w:hint="default" w:ascii="Times New Roman" w:hAnsi="Times New Roman" w:eastAsia="宋体" w:cs="Times New Roman"/>
          <w:sz w:val="21"/>
          <w:lang w:val="en-US" w:eastAsia="zh-CN" w:bidi="ar-SA"/>
        </w:rPr>
      </w:pPr>
      <w:r>
        <w:rPr>
          <w:rFonts w:hint="default" w:ascii="Times New Roman" w:hAnsi="Times New Roman" w:cs="Times New Roman"/>
          <w:spacing w:val="0"/>
          <w:w w:val="100"/>
        </w:rPr>
        <w:t>本文件适用于水产养殖调水用品（</w:t>
      </w:r>
      <w:r>
        <w:rPr>
          <w:rFonts w:hint="default" w:ascii="Times New Roman" w:hAnsi="Times New Roman" w:cs="Times New Roman"/>
          <w:spacing w:val="0"/>
          <w:w w:val="100"/>
          <w:lang w:val="en-US" w:eastAsia="zh-CN"/>
        </w:rPr>
        <w:t>生物</w:t>
      </w:r>
      <w:r>
        <w:rPr>
          <w:rFonts w:hint="default" w:ascii="Times New Roman" w:hAnsi="Times New Roman" w:cs="Times New Roman"/>
          <w:spacing w:val="0"/>
          <w:w w:val="100"/>
        </w:rPr>
        <w:t>类）的安全性评价</w:t>
      </w:r>
      <w:r>
        <w:rPr>
          <w:rFonts w:hint="default" w:ascii="Times New Roman" w:hAnsi="Times New Roman" w:eastAsia="宋体" w:cs="Times New Roman"/>
          <w:sz w:val="21"/>
          <w:lang w:val="en-US" w:eastAsia="zh-CN" w:bidi="ar-SA"/>
        </w:rPr>
        <w:t>。</w:t>
      </w:r>
    </w:p>
    <w:p w14:paraId="773961A1">
      <w:pPr>
        <w:pStyle w:val="106"/>
        <w:spacing w:before="240" w:after="240"/>
      </w:pPr>
      <w:bookmarkStart w:id="39" w:name="_Toc26986531"/>
      <w:bookmarkStart w:id="40" w:name="_Toc26718931"/>
      <w:bookmarkStart w:id="41" w:name="_Toc97192965"/>
      <w:bookmarkStart w:id="42" w:name="_Toc2698677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05658745C3E14888A81E58AC3CD142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hAnsi="Times New Roman" w:cs="Times New Roman"/>
          <w:spacing w:val="0"/>
          <w:w w:val="100"/>
        </w:rPr>
      </w:sdtEndPr>
      <w:sdtContent>
        <w:p w14:paraId="6F634377">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eastAsia" w:ascii="Times New Roman" w:hAnsi="Times New Roman" w:cs="Times New Roman"/>
              <w:spacing w:val="0"/>
              <w:w w:val="100"/>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0660410">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ascii="Times New Roman" w:hAnsi="Times New Roman" w:cs="Times New Roman"/>
          <w:spacing w:val="0"/>
          <w:w w:val="100"/>
        </w:rPr>
      </w:pPr>
      <w:bookmarkStart w:id="43" w:name="_Hlk178133992"/>
      <w:bookmarkStart w:id="44" w:name="_Toc97192966"/>
      <w:r>
        <w:rPr>
          <w:rFonts w:hint="eastAsia" w:ascii="Times New Roman" w:hAnsi="Times New Roman" w:cs="Times New Roman"/>
          <w:spacing w:val="0"/>
          <w:w w:val="100"/>
        </w:rPr>
        <w:t>GB/T 22213 水产养殖术语</w:t>
      </w:r>
      <w:bookmarkEnd w:id="43"/>
    </w:p>
    <w:p w14:paraId="3FAD462F">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ascii="Times New Roman" w:hAnsi="Times New Roman" w:cs="Times New Roman"/>
          <w:spacing w:val="0"/>
          <w:w w:val="100"/>
        </w:rPr>
      </w:pPr>
      <w:r>
        <w:rPr>
          <w:rFonts w:hint="eastAsia" w:ascii="Times New Roman" w:hAnsi="Times New Roman" w:cs="Times New Roman"/>
          <w:spacing w:val="0"/>
          <w:w w:val="100"/>
        </w:rPr>
        <w:t>GB/T 26426  饲料中副溶血性弧菌的检测</w:t>
      </w:r>
    </w:p>
    <w:p w14:paraId="23827761">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ascii="Times New Roman" w:hAnsi="Times New Roman" w:cs="Times New Roman"/>
          <w:spacing w:val="0"/>
          <w:w w:val="100"/>
        </w:rPr>
      </w:pPr>
      <w:r>
        <w:rPr>
          <w:rFonts w:hint="eastAsia" w:ascii="Times New Roman" w:hAnsi="Times New Roman" w:cs="Times New Roman"/>
          <w:spacing w:val="0"/>
          <w:w w:val="100"/>
        </w:rPr>
        <w:t>HJ/T</w:t>
      </w:r>
      <w:r>
        <w:rPr>
          <w:rFonts w:hint="eastAsia" w:ascii="Times New Roman" w:cs="Times New Roman"/>
          <w:spacing w:val="0"/>
          <w:w w:val="100"/>
          <w:lang w:val="en-US" w:eastAsia="zh-CN"/>
        </w:rPr>
        <w:t xml:space="preserve"> </w:t>
      </w:r>
      <w:r>
        <w:rPr>
          <w:rFonts w:hint="eastAsia" w:ascii="Times New Roman" w:hAnsi="Times New Roman" w:cs="Times New Roman"/>
          <w:spacing w:val="0"/>
          <w:w w:val="100"/>
        </w:rPr>
        <w:t xml:space="preserve">415    环保用微生物菌剂环境安全评价导则 </w:t>
      </w:r>
    </w:p>
    <w:p w14:paraId="1A25DEAC">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ascii="Times New Roman" w:hAnsi="Times New Roman" w:cs="Times New Roman"/>
          <w:spacing w:val="0"/>
          <w:w w:val="100"/>
        </w:rPr>
      </w:pPr>
      <w:r>
        <w:rPr>
          <w:rFonts w:hint="eastAsia" w:ascii="Times New Roman" w:hAnsi="Times New Roman" w:cs="Times New Roman"/>
          <w:spacing w:val="0"/>
          <w:w w:val="100"/>
        </w:rPr>
        <w:t>SC/T 7028  水产养殖动物细菌耐药性调查规范 通则</w:t>
      </w:r>
    </w:p>
    <w:p w14:paraId="40C69952">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ascii="Times New Roman" w:hAnsi="Times New Roman" w:cs="Times New Roman"/>
          <w:spacing w:val="0"/>
          <w:w w:val="100"/>
        </w:rPr>
      </w:pPr>
      <w:r>
        <w:rPr>
          <w:rFonts w:hint="eastAsia" w:ascii="Times New Roman" w:hAnsi="Times New Roman" w:cs="Times New Roman"/>
          <w:spacing w:val="0"/>
          <w:w w:val="100"/>
        </w:rPr>
        <w:t>SN/T 4739  致病性嗜水气单胞菌检疫技术规范</w:t>
      </w:r>
    </w:p>
    <w:p w14:paraId="0AA1744B">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ascii="Times New Roman" w:hAnsi="Times New Roman" w:cs="Times New Roman"/>
          <w:spacing w:val="0"/>
          <w:w w:val="100"/>
        </w:rPr>
      </w:pPr>
      <w:r>
        <w:rPr>
          <w:rFonts w:hint="eastAsia" w:ascii="Times New Roman" w:hAnsi="Times New Roman" w:cs="Times New Roman"/>
          <w:spacing w:val="0"/>
          <w:w w:val="100"/>
        </w:rPr>
        <w:t>NY/T 3152.4-2017 微生物农药环境风险评价试验准则 第4部分：鱼类毒性试验</w:t>
      </w:r>
    </w:p>
    <w:p w14:paraId="3C1847FB">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spacing w:val="0"/>
          <w:w w:val="100"/>
        </w:rPr>
      </w:pPr>
      <w:r>
        <w:rPr>
          <w:rFonts w:hint="eastAsia" w:ascii="Times New Roman" w:hAnsi="Times New Roman" w:cs="Times New Roman"/>
          <w:spacing w:val="0"/>
          <w:w w:val="100"/>
        </w:rPr>
        <w:t>NY/T 3152.6-2017 微生物农药环境风险评价试验准则 第4部分：第6部分：藻类生长影响试验</w:t>
      </w:r>
    </w:p>
    <w:p w14:paraId="04B6A1AC">
      <w:pPr>
        <w:pStyle w:val="106"/>
        <w:spacing w:before="240" w:after="240"/>
      </w:pPr>
      <w:r>
        <w:rPr>
          <w:rFonts w:hint="eastAsia"/>
          <w:szCs w:val="21"/>
        </w:rPr>
        <w:t>术语和定义</w:t>
      </w:r>
      <w:bookmarkEnd w:id="44"/>
    </w:p>
    <w:p w14:paraId="6D64FE60">
      <w:pPr>
        <w:pStyle w:val="58"/>
        <w:ind w:firstLine="199" w:firstLineChars="95"/>
      </w:pPr>
      <w:bookmarkStart w:id="45" w:name="_Toc26986532"/>
      <w:bookmarkEnd w:id="45"/>
      <w:sdt>
        <w:sdtPr>
          <w:rPr>
            <w:rFonts w:hint="eastAsia" w:ascii="Times New Roman" w:hAnsi="Times New Roman" w:eastAsia="宋体" w:cs="Times New Roman"/>
            <w:sz w:val="21"/>
            <w:lang w:val="en-US" w:eastAsia="zh-CN" w:bidi="ar-SA"/>
          </w:rPr>
          <w:id w:val="-1909835108"/>
          <w:placeholder>
            <w:docPart w:val="11AEB22BF1624B07B8F340787C90C35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Times New Roman" w:hAnsi="Times New Roman" w:eastAsia="宋体" w:cs="Times New Roman"/>
            <w:sz w:val="21"/>
            <w:lang w:val="en-US" w:eastAsia="zh-CN" w:bidi="ar-SA"/>
          </w:rPr>
        </w:sdtEndPr>
        <w:sdtContent>
          <w:r>
            <w:rPr>
              <w:rFonts w:hint="eastAsia" w:ascii="Times New Roman" w:cs="Times New Roman"/>
              <w:sz w:val="21"/>
              <w:lang w:val="en-US" w:eastAsia="zh-CN" w:bidi="ar-SA"/>
            </w:rPr>
            <w:t xml:space="preserve"> </w:t>
          </w:r>
          <w:r>
            <w:rPr>
              <w:rFonts w:hint="eastAsia" w:ascii="Times New Roman" w:hAnsi="Times New Roman" w:cs="Times New Roman"/>
              <w:spacing w:val="0"/>
              <w:w w:val="100"/>
              <w:lang w:val="en-US" w:eastAsia="zh-CN"/>
            </w:rPr>
            <w:t xml:space="preserve"> GB/T 22213界定的术语和定义适用于本文件。</w:t>
          </w:r>
        </w:sdtContent>
      </w:sdt>
    </w:p>
    <w:p w14:paraId="567FA03C">
      <w:pPr>
        <w:pStyle w:val="235"/>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76" w:lineRule="auto"/>
        <w:textAlignment w:val="auto"/>
        <w:rPr>
          <w:rFonts w:ascii="Times New Roman"/>
          <w:b w:val="0"/>
          <w:bCs w:val="0"/>
        </w:rPr>
      </w:pPr>
      <w:r>
        <w:rPr>
          <w:rFonts w:hint="eastAsia" w:ascii="Times New Roman"/>
          <w:b w:val="0"/>
          <w:bCs w:val="0"/>
        </w:rPr>
        <w:t xml:space="preserve">3.1 </w:t>
      </w:r>
    </w:p>
    <w:p w14:paraId="79330545">
      <w:pPr>
        <w:pStyle w:val="235"/>
        <w:keepNext w:val="0"/>
        <w:keepLines w:val="0"/>
        <w:pageBreakBefore w:val="0"/>
        <w:numPr>
          <w:ilvl w:val="0"/>
          <w:numId w:val="0"/>
        </w:numPr>
        <w:kinsoku/>
        <w:wordWrap/>
        <w:overflowPunct/>
        <w:topLinePunct w:val="0"/>
        <w:autoSpaceDE/>
        <w:autoSpaceDN/>
        <w:bidi w:val="0"/>
        <w:spacing w:before="0" w:beforeLines="0" w:after="0" w:afterLines="0" w:line="276" w:lineRule="auto"/>
        <w:ind w:firstLine="420" w:firstLineChars="200"/>
        <w:textAlignment w:val="auto"/>
        <w:rPr>
          <w:rFonts w:ascii="Times New Roman"/>
        </w:rPr>
      </w:pPr>
      <w:r>
        <w:rPr>
          <w:rFonts w:hint="eastAsia" w:ascii="Times New Roman"/>
        </w:rPr>
        <w:t xml:space="preserve">水产养殖调水用品 </w:t>
      </w:r>
      <w:r>
        <w:rPr>
          <w:rFonts w:hint="default" w:ascii="Times New Roman" w:hAnsi="Times New Roman" w:eastAsia="宋体" w:cs="Times New Roman"/>
        </w:rPr>
        <w:t>water conditioning supplies</w:t>
      </w:r>
      <w:r>
        <w:rPr>
          <w:rFonts w:ascii="Times New Roman"/>
        </w:rPr>
        <w:t xml:space="preserve"> for aquaculture</w:t>
      </w:r>
    </w:p>
    <w:p w14:paraId="355E225A">
      <w:pPr>
        <w:keepNext w:val="0"/>
        <w:keepLines w:val="0"/>
        <w:pageBreakBefore w:val="0"/>
        <w:widowControl w:val="0"/>
        <w:kinsoku/>
        <w:wordWrap/>
        <w:overflowPunct/>
        <w:topLinePunct w:val="0"/>
        <w:autoSpaceDE/>
        <w:autoSpaceDN/>
        <w:bidi w:val="0"/>
        <w:adjustRightInd w:val="0"/>
        <w:snapToGrid w:val="0"/>
        <w:spacing w:line="276" w:lineRule="auto"/>
        <w:ind w:firstLine="420" w:firstLineChars="200"/>
        <w:textAlignment w:val="auto"/>
        <w:rPr>
          <w:rFonts w:ascii="Times New Roman" w:hAnsi="Times New Roman"/>
          <w:snapToGrid w:val="0"/>
          <w:color w:val="000000"/>
        </w:rPr>
      </w:pPr>
      <w:bookmarkStart w:id="46" w:name="_Hlk178000861"/>
      <w:r>
        <w:rPr>
          <w:rFonts w:hint="eastAsia" w:ascii="Times New Roman" w:hAnsi="Times New Roman"/>
          <w:snapToGrid w:val="0"/>
          <w:color w:val="000000"/>
        </w:rPr>
        <w:t>调节养殖水体水质、底质理化指标，调节浮游生物、微生物和水生植物生长，改善养殖动物生长环境的化学合成或者来源于生物、其他天然物质的一种物质或者几种物质的混合物及其制剂。</w:t>
      </w:r>
    </w:p>
    <w:bookmarkEnd w:id="46"/>
    <w:p w14:paraId="77589AF4">
      <w:pPr>
        <w:pStyle w:val="235"/>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76" w:lineRule="auto"/>
        <w:textAlignment w:val="auto"/>
        <w:rPr>
          <w:rFonts w:hint="eastAsia" w:ascii="Times New Roman"/>
          <w:b w:val="0"/>
          <w:bCs w:val="0"/>
        </w:rPr>
      </w:pPr>
      <w:r>
        <w:rPr>
          <w:rFonts w:hint="eastAsia" w:ascii="Times New Roman"/>
          <w:b w:val="0"/>
          <w:bCs w:val="0"/>
        </w:rPr>
        <w:t xml:space="preserve">3.2 </w:t>
      </w:r>
    </w:p>
    <w:p w14:paraId="1D3D6EB1">
      <w:pPr>
        <w:pStyle w:val="235"/>
        <w:keepNext w:val="0"/>
        <w:keepLines w:val="0"/>
        <w:pageBreakBefore w:val="0"/>
        <w:numPr>
          <w:ilvl w:val="0"/>
          <w:numId w:val="0"/>
        </w:numPr>
        <w:kinsoku/>
        <w:wordWrap/>
        <w:overflowPunct/>
        <w:topLinePunct w:val="0"/>
        <w:autoSpaceDE/>
        <w:autoSpaceDN/>
        <w:bidi w:val="0"/>
        <w:snapToGrid/>
        <w:spacing w:before="0" w:beforeLines="0" w:after="0" w:afterLines="0" w:line="276" w:lineRule="auto"/>
        <w:ind w:firstLine="420" w:firstLineChars="200"/>
        <w:textAlignment w:val="auto"/>
        <w:rPr>
          <w:rFonts w:ascii="Times New Roman"/>
        </w:rPr>
      </w:pPr>
      <w:r>
        <w:rPr>
          <w:rFonts w:hint="eastAsia" w:ascii="Times New Roman"/>
        </w:rPr>
        <w:t xml:space="preserve">水产养殖调水用品（生物类） biological aquaculture </w:t>
      </w:r>
      <w:r>
        <w:rPr>
          <w:rFonts w:hint="default" w:ascii="Times New Roman" w:hAnsi="Times New Roman" w:eastAsia="宋体" w:cs="Times New Roman"/>
        </w:rPr>
        <w:t>water conditioning supplies</w:t>
      </w:r>
    </w:p>
    <w:p w14:paraId="58CC2D14">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rPr>
      </w:pPr>
      <w:r>
        <w:rPr>
          <w:rFonts w:hint="eastAsia"/>
        </w:rPr>
        <w:t>调节养殖水体水质、底质理化指标，调节浮游生物、微生物和水生植物生长，改善养殖动物生长环境的来源于生物的一种物质或者几种物质的混合物及其制剂。</w:t>
      </w:r>
    </w:p>
    <w:p w14:paraId="2BEA3B9F">
      <w:pPr>
        <w:pStyle w:val="235"/>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76" w:lineRule="auto"/>
        <w:textAlignment w:val="auto"/>
        <w:rPr>
          <w:rFonts w:hint="eastAsia" w:ascii="Times New Roman"/>
          <w:b w:val="0"/>
          <w:bCs w:val="0"/>
        </w:rPr>
      </w:pPr>
      <w:r>
        <w:rPr>
          <w:rFonts w:hint="eastAsia" w:ascii="Times New Roman"/>
          <w:b w:val="0"/>
          <w:bCs w:val="0"/>
        </w:rPr>
        <w:t xml:space="preserve">3.3 </w:t>
      </w:r>
    </w:p>
    <w:p w14:paraId="53FE170E">
      <w:pPr>
        <w:pStyle w:val="235"/>
        <w:keepNext w:val="0"/>
        <w:keepLines w:val="0"/>
        <w:pageBreakBefore w:val="0"/>
        <w:numPr>
          <w:ilvl w:val="0"/>
          <w:numId w:val="0"/>
        </w:numPr>
        <w:kinsoku/>
        <w:wordWrap/>
        <w:overflowPunct/>
        <w:topLinePunct w:val="0"/>
        <w:autoSpaceDE/>
        <w:autoSpaceDN/>
        <w:bidi w:val="0"/>
        <w:snapToGrid/>
        <w:spacing w:before="0" w:beforeLines="0" w:after="0" w:afterLines="0" w:line="276" w:lineRule="auto"/>
        <w:ind w:firstLine="420" w:firstLineChars="200"/>
        <w:textAlignment w:val="auto"/>
        <w:rPr>
          <w:rFonts w:hint="eastAsia" w:ascii="Times New Roman" w:hAnsi="Times New Roman" w:eastAsia="宋体" w:cs="Times New Roman"/>
          <w:b/>
          <w:bCs/>
          <w:lang w:val="en-US" w:eastAsia="zh-CN"/>
        </w:rPr>
      </w:pPr>
      <w:r>
        <w:rPr>
          <w:rFonts w:hint="eastAsia" w:ascii="Times New Roman"/>
        </w:rPr>
        <w:t>水产养殖调水用品</w:t>
      </w:r>
      <w:r>
        <w:rPr>
          <w:rFonts w:hint="eastAsia" w:ascii="Times New Roman"/>
          <w:lang w:eastAsia="zh-CN"/>
        </w:rPr>
        <w:t>（</w:t>
      </w:r>
      <w:r>
        <w:rPr>
          <w:rFonts w:hint="eastAsia" w:ascii="Times New Roman"/>
        </w:rPr>
        <w:t>生物类</w:t>
      </w:r>
      <w:r>
        <w:rPr>
          <w:rFonts w:hint="eastAsia" w:ascii="Times New Roman"/>
          <w:lang w:eastAsia="zh-CN"/>
        </w:rPr>
        <w:t>）</w:t>
      </w:r>
      <w:r>
        <w:rPr>
          <w:rFonts w:hint="eastAsia" w:ascii="Times New Roman"/>
        </w:rPr>
        <w:t>安全评价</w:t>
      </w:r>
      <w:r>
        <w:rPr>
          <w:rFonts w:hint="eastAsia" w:ascii="宋体" w:hAnsi="宋体" w:eastAsia="宋体"/>
          <w:b/>
          <w:bCs/>
        </w:rPr>
        <w:t xml:space="preserve"> </w:t>
      </w:r>
      <w:r>
        <w:rPr>
          <w:rFonts w:hint="default" w:ascii="Times New Roman" w:hAnsi="Times New Roman" w:eastAsia="宋体" w:cs="Times New Roman"/>
        </w:rPr>
        <w:t>safety assessment of water conditioning supplies</w:t>
      </w:r>
      <w:r>
        <w:rPr>
          <w:rFonts w:hint="eastAsia" w:ascii="Times New Roman" w:eastAsia="宋体" w:cs="Times New Roman"/>
          <w:lang w:val="en-US" w:eastAsia="zh-CN"/>
        </w:rPr>
        <w:t xml:space="preserve"> </w:t>
      </w:r>
      <w:r>
        <w:rPr>
          <w:rFonts w:ascii="Times New Roman"/>
        </w:rPr>
        <w:t>for aquaculture</w:t>
      </w:r>
    </w:p>
    <w:p w14:paraId="55C75B30">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rPr>
      </w:pPr>
      <w:r>
        <w:rPr>
          <w:rFonts w:hint="eastAsia"/>
        </w:rPr>
        <w:t>对水产养殖调水用品（生物类）的安全性进行的综合评价，评价内容包括包括基本生物学背景评价（包括来源、组成、分类、生物安全级别分类等）、致病性评价、耐药性评价及生态安全评价（生态毒性、卫生学等）等。</w:t>
      </w:r>
    </w:p>
    <w:p w14:paraId="5C0217E1">
      <w:pPr>
        <w:pStyle w:val="235"/>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76" w:lineRule="auto"/>
        <w:textAlignment w:val="auto"/>
        <w:rPr>
          <w:rFonts w:hint="eastAsia" w:ascii="Times New Roman"/>
          <w:b w:val="0"/>
          <w:bCs w:val="0"/>
        </w:rPr>
      </w:pPr>
      <w:r>
        <w:rPr>
          <w:rFonts w:hint="eastAsia" w:ascii="Times New Roman"/>
          <w:b w:val="0"/>
          <w:bCs w:val="0"/>
        </w:rPr>
        <w:t xml:space="preserve">3.4 </w:t>
      </w:r>
    </w:p>
    <w:p w14:paraId="560D5D1E">
      <w:pPr>
        <w:pStyle w:val="233"/>
        <w:keepNext w:val="0"/>
        <w:keepLines w:val="0"/>
        <w:pageBreakBefore w:val="0"/>
        <w:widowControl/>
        <w:kinsoku/>
        <w:wordWrap/>
        <w:overflowPunct/>
        <w:topLinePunct w:val="0"/>
        <w:bidi w:val="0"/>
        <w:adjustRightInd/>
        <w:snapToGrid/>
        <w:spacing w:line="276" w:lineRule="auto"/>
        <w:ind w:firstLine="422"/>
        <w:textAlignment w:val="auto"/>
        <w:rPr>
          <w:szCs w:val="22"/>
        </w:rPr>
      </w:pPr>
      <w:bookmarkStart w:id="47" w:name="_Hlk178134489"/>
      <w:r>
        <w:rPr>
          <w:rFonts w:hint="eastAsia" w:ascii="Times New Roman" w:hAnsi="Times New Roman" w:eastAsia="黑体" w:cs="Times New Roman"/>
          <w:kern w:val="0"/>
          <w:sz w:val="21"/>
          <w:lang w:val="en-US" w:eastAsia="zh-CN" w:bidi="ar-SA"/>
        </w:rPr>
        <w:t>致病性</w:t>
      </w:r>
      <w:r>
        <w:rPr>
          <w:rFonts w:hint="eastAsia"/>
          <w:b/>
          <w:bCs/>
          <w:szCs w:val="22"/>
        </w:rPr>
        <w:t xml:space="preserve"> </w:t>
      </w:r>
      <w:r>
        <w:rPr>
          <w:rFonts w:hint="default" w:ascii="Times New Roman" w:hAnsi="Times New Roman" w:eastAsia="宋体" w:cs="Times New Roman"/>
          <w:kern w:val="0"/>
          <w:sz w:val="21"/>
          <w:lang w:val="en-US" w:eastAsia="zh-CN" w:bidi="ar-SA"/>
        </w:rPr>
        <w:t>pathogenicity</w:t>
      </w:r>
    </w:p>
    <w:p w14:paraId="59BA307F">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rPr>
      </w:pPr>
      <w:r>
        <w:rPr>
          <w:rFonts w:hint="eastAsia"/>
        </w:rPr>
        <w:t>病原生物感染宿主，在宿主体内定居、增殖并引起疾病的特性或能力。</w:t>
      </w:r>
    </w:p>
    <w:p w14:paraId="56E367DB">
      <w:pPr>
        <w:pStyle w:val="235"/>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76" w:lineRule="auto"/>
        <w:textAlignment w:val="auto"/>
        <w:rPr>
          <w:rFonts w:hint="eastAsia" w:ascii="Times New Roman"/>
          <w:b w:val="0"/>
          <w:bCs w:val="0"/>
        </w:rPr>
      </w:pPr>
      <w:r>
        <w:rPr>
          <w:rFonts w:hint="eastAsia" w:ascii="Times New Roman"/>
          <w:b w:val="0"/>
          <w:bCs w:val="0"/>
        </w:rPr>
        <w:t>3.5</w:t>
      </w:r>
    </w:p>
    <w:bookmarkEnd w:id="47"/>
    <w:p w14:paraId="35AC443D">
      <w:pPr>
        <w:pStyle w:val="233"/>
        <w:keepNext w:val="0"/>
        <w:keepLines w:val="0"/>
        <w:pageBreakBefore w:val="0"/>
        <w:widowControl/>
        <w:kinsoku/>
        <w:wordWrap/>
        <w:overflowPunct/>
        <w:topLinePunct w:val="0"/>
        <w:bidi w:val="0"/>
        <w:adjustRightInd/>
        <w:snapToGrid/>
        <w:spacing w:line="276" w:lineRule="auto"/>
        <w:ind w:firstLine="422"/>
        <w:textAlignment w:val="auto"/>
        <w:rPr>
          <w:szCs w:val="22"/>
        </w:rPr>
      </w:pPr>
      <w:r>
        <w:rPr>
          <w:rFonts w:hint="eastAsia" w:ascii="Times New Roman" w:hAnsi="Times New Roman" w:eastAsia="黑体" w:cs="Times New Roman"/>
          <w:kern w:val="0"/>
          <w:sz w:val="21"/>
          <w:lang w:val="en-US" w:eastAsia="zh-CN" w:bidi="ar-SA"/>
        </w:rPr>
        <w:t>耐药性</w:t>
      </w:r>
      <w:r>
        <w:rPr>
          <w:rFonts w:hint="eastAsia" w:ascii="Times New Roman" w:hAnsi="Times New Roman" w:eastAsia="宋体" w:cs="Times New Roman"/>
          <w:kern w:val="0"/>
          <w:sz w:val="21"/>
          <w:lang w:val="en-US" w:eastAsia="zh-CN" w:bidi="ar-SA"/>
        </w:rPr>
        <w:t xml:space="preserve"> </w:t>
      </w:r>
      <w:r>
        <w:rPr>
          <w:rFonts w:hint="default" w:ascii="Times New Roman" w:hAnsi="Times New Roman" w:eastAsia="宋体" w:cs="Times New Roman"/>
          <w:kern w:val="0"/>
          <w:sz w:val="21"/>
          <w:lang w:val="en-US" w:eastAsia="zh-CN" w:bidi="ar-SA"/>
        </w:rPr>
        <w:t>resistance</w:t>
      </w:r>
    </w:p>
    <w:p w14:paraId="419E596B">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76" w:lineRule="auto"/>
        <w:ind w:firstLine="420" w:firstLineChars="200"/>
        <w:textAlignment w:val="auto"/>
        <w:rPr>
          <w:rFonts w:ascii="宋体" w:hAnsi="宋体"/>
        </w:rPr>
      </w:pPr>
      <w:r>
        <w:rPr>
          <w:rFonts w:ascii="宋体" w:hAnsi="宋体"/>
          <w:szCs w:val="22"/>
        </w:rPr>
        <w:t>又称抗药性，系指微生物</w:t>
      </w:r>
      <w:r>
        <w:rPr>
          <w:rFonts w:hint="eastAsia" w:ascii="宋体" w:hAnsi="宋体"/>
          <w:szCs w:val="22"/>
        </w:rPr>
        <w:t>等</w:t>
      </w:r>
      <w:r>
        <w:rPr>
          <w:rFonts w:ascii="宋体" w:hAnsi="宋体"/>
          <w:szCs w:val="22"/>
        </w:rPr>
        <w:t>对于药物作用的耐受性，耐药性一旦产生，药物的作用就明显下降。</w:t>
      </w:r>
    </w:p>
    <w:p w14:paraId="72D92C05">
      <w:pPr>
        <w:pStyle w:val="106"/>
        <w:spacing w:before="240" w:after="240"/>
      </w:pPr>
      <w:r>
        <w:rPr>
          <w:rFonts w:hint="eastAsia"/>
        </w:rPr>
        <w:t>基本要求</w:t>
      </w:r>
    </w:p>
    <w:p w14:paraId="0FD1F965">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pPr>
      <w:r>
        <w:rPr>
          <w:rFonts w:hint="eastAsia"/>
        </w:rPr>
        <w:t>列入《肥料登记资料要求》、《饲料原料目录》、《饲料添加剂目录》及后续增补和修订的公告的生物物质及其制剂，免于进行本文件规定的安全性评价；未列入上述目录的水产养殖调水用品（生物类）需进行本文件规定的安全性评价。</w:t>
      </w:r>
    </w:p>
    <w:p w14:paraId="4C6421FA">
      <w:pPr>
        <w:pStyle w:val="236"/>
        <w:numPr>
          <w:ilvl w:val="0"/>
          <w:numId w:val="0"/>
        </w:numPr>
        <w:spacing w:before="120" w:after="120"/>
        <w:rPr>
          <w:rFonts w:hAnsi="宋体" w:cs="宋体"/>
        </w:rPr>
      </w:pPr>
      <w:r>
        <w:rPr>
          <w:rFonts w:hint="eastAsia" w:hAnsi="宋体" w:cs="宋体"/>
        </w:rPr>
        <w:t>4</w:t>
      </w:r>
      <w:r>
        <w:rPr>
          <w:rFonts w:hAnsi="宋体" w:cs="宋体"/>
        </w:rPr>
        <w:t>.1</w:t>
      </w:r>
      <w:r>
        <w:rPr>
          <w:rFonts w:hint="eastAsia" w:hAnsi="黑体"/>
        </w:rPr>
        <w:t xml:space="preserve">评价目的 </w:t>
      </w:r>
    </w:p>
    <w:p w14:paraId="38786244">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eastAsia"/>
        </w:rPr>
      </w:pPr>
      <w:r>
        <w:rPr>
          <w:rFonts w:hint="eastAsia"/>
        </w:rPr>
        <w:t>开展安全性评价，分析和评价水产养殖调水用品（生物类）及其使用过程中，对水产养殖动物、人畜健康及生态安全的有害影响和潜在风险。</w:t>
      </w:r>
    </w:p>
    <w:p w14:paraId="3F332CD8">
      <w:pPr>
        <w:pStyle w:val="236"/>
        <w:numPr>
          <w:ilvl w:val="0"/>
          <w:numId w:val="0"/>
        </w:numPr>
        <w:spacing w:before="120" w:after="120"/>
        <w:rPr>
          <w:rFonts w:hAnsi="宋体" w:cs="宋体"/>
        </w:rPr>
      </w:pPr>
      <w:r>
        <w:rPr>
          <w:rFonts w:hint="eastAsia" w:hAnsi="宋体" w:cs="宋体"/>
        </w:rPr>
        <w:t>4</w:t>
      </w:r>
      <w:r>
        <w:rPr>
          <w:rFonts w:hAnsi="宋体" w:cs="宋体"/>
        </w:rPr>
        <w:t>.</w:t>
      </w:r>
      <w:r>
        <w:rPr>
          <w:rFonts w:hint="eastAsia" w:hAnsi="宋体" w:cs="宋体"/>
        </w:rPr>
        <w:t>2</w:t>
      </w:r>
      <w:r>
        <w:rPr>
          <w:rFonts w:hint="eastAsia" w:hAnsi="黑体"/>
        </w:rPr>
        <w:t>评价重点</w:t>
      </w:r>
    </w:p>
    <w:p w14:paraId="68C22BED">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4.2.1 水产养殖调水用品（生物类）所含各菌种</w:t>
      </w:r>
      <w:r>
        <w:rPr>
          <w:rFonts w:hint="eastAsia" w:ascii="Times New Roman" w:cs="Times New Roman"/>
          <w:lang w:eastAsia="zh-CN"/>
        </w:rPr>
        <w:t>（</w:t>
      </w:r>
      <w:r>
        <w:rPr>
          <w:rFonts w:hint="default" w:ascii="Times New Roman" w:hAnsi="Times New Roman" w:cs="Times New Roman"/>
        </w:rPr>
        <w:t>株</w:t>
      </w:r>
      <w:r>
        <w:rPr>
          <w:rFonts w:hint="eastAsia" w:ascii="Times New Roman" w:cs="Times New Roman"/>
          <w:lang w:eastAsia="zh-CN"/>
        </w:rPr>
        <w:t>）</w:t>
      </w:r>
      <w:r>
        <w:rPr>
          <w:rFonts w:hint="default" w:ascii="Times New Roman" w:hAnsi="Times New Roman" w:cs="Times New Roman"/>
        </w:rPr>
        <w:t>的生物学特征。</w:t>
      </w:r>
    </w:p>
    <w:p w14:paraId="7C1C0493">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4.2.2 致病性。</w:t>
      </w:r>
    </w:p>
    <w:p w14:paraId="59E887AB">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4.2.3 菌种对抗菌药物的耐药性。</w:t>
      </w:r>
    </w:p>
    <w:p w14:paraId="48A98629">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4.2.4 水产养殖调水用品（生物类）及其使用过程中代谢产物的潜在危害。</w:t>
      </w:r>
    </w:p>
    <w:p w14:paraId="70082E45">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default" w:ascii="Times New Roman" w:hAnsi="Times New Roman" w:cs="Times New Roman"/>
        </w:rPr>
      </w:pPr>
      <w:r>
        <w:rPr>
          <w:rFonts w:hint="default" w:ascii="Times New Roman" w:hAnsi="Times New Roman" w:cs="Times New Roman"/>
        </w:rPr>
        <w:t>4.2.5 其他生物类产品根据其生物特性开展其他项目的安全性评价。</w:t>
      </w:r>
    </w:p>
    <w:p w14:paraId="04E407A7">
      <w:pPr>
        <w:pStyle w:val="235"/>
        <w:numPr>
          <w:ilvl w:val="0"/>
          <w:numId w:val="0"/>
        </w:numPr>
        <w:spacing w:before="240" w:after="240"/>
        <w:rPr>
          <w:rFonts w:hint="eastAsia" w:ascii="黑体" w:hAnsi="黑体" w:eastAsia="黑体" w:cs="黑体"/>
          <w:b w:val="0"/>
          <w:bCs w:val="0"/>
        </w:rPr>
      </w:pPr>
      <w:bookmarkStart w:id="48" w:name="_Hlk143080333"/>
      <w:bookmarkEnd w:id="48"/>
      <w:r>
        <w:rPr>
          <w:rFonts w:hint="eastAsia" w:ascii="黑体" w:hAnsi="黑体" w:eastAsia="黑体" w:cs="黑体"/>
          <w:b w:val="0"/>
          <w:bCs w:val="0"/>
        </w:rPr>
        <w:t>5 评价内容</w:t>
      </w:r>
    </w:p>
    <w:p w14:paraId="4D82E6BD">
      <w:pPr>
        <w:pStyle w:val="2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val="0"/>
        </w:rPr>
      </w:pPr>
      <w:r>
        <w:rPr>
          <w:rFonts w:hint="eastAsia" w:ascii="黑体" w:hAnsi="黑体" w:eastAsia="黑体" w:cs="黑体"/>
          <w:b w:val="0"/>
          <w:bCs w:val="0"/>
        </w:rPr>
        <w:t>5.1</w:t>
      </w:r>
      <w:r>
        <w:rPr>
          <w:rFonts w:hint="eastAsia" w:hAnsi="黑体" w:cs="黑体"/>
          <w:b w:val="0"/>
          <w:bCs w:val="0"/>
          <w:lang w:val="en-US" w:eastAsia="zh-CN"/>
        </w:rPr>
        <w:t xml:space="preserve"> </w:t>
      </w:r>
      <w:r>
        <w:rPr>
          <w:rFonts w:hint="eastAsia" w:ascii="黑体" w:hAnsi="黑体" w:eastAsia="黑体" w:cs="黑体"/>
          <w:b w:val="0"/>
          <w:bCs w:val="0"/>
        </w:rPr>
        <w:t>基本生物学背景评价</w:t>
      </w:r>
    </w:p>
    <w:p w14:paraId="30EB824B">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宋体" w:hAnsi="宋体" w:cs="宋体"/>
        </w:rPr>
      </w:pPr>
      <w:r>
        <w:rPr>
          <w:rFonts w:hint="eastAsia" w:ascii="宋体" w:hAnsi="宋体"/>
        </w:rPr>
        <w:t>水产养殖调水用品（生物类）</w:t>
      </w:r>
      <w:r>
        <w:rPr>
          <w:rFonts w:hint="eastAsia" w:ascii="宋体" w:hAnsi="宋体" w:cs="宋体"/>
        </w:rPr>
        <w:t>的菌种（株）来源、组成及生物学特征等；确认各生物、菌种</w:t>
      </w:r>
      <w:r>
        <w:rPr>
          <w:rFonts w:hint="eastAsia" w:ascii="宋体" w:hAnsi="宋体" w:cs="宋体"/>
          <w:lang w:eastAsia="zh-CN"/>
        </w:rPr>
        <w:t>（</w:t>
      </w:r>
      <w:r>
        <w:rPr>
          <w:rFonts w:hint="eastAsia" w:ascii="宋体" w:hAnsi="宋体" w:cs="宋体"/>
        </w:rPr>
        <w:t>株</w:t>
      </w:r>
      <w:r>
        <w:rPr>
          <w:rFonts w:hint="eastAsia" w:ascii="宋体" w:hAnsi="宋体" w:cs="宋体"/>
          <w:lang w:eastAsia="zh-CN"/>
        </w:rPr>
        <w:t>）</w:t>
      </w:r>
      <w:r>
        <w:rPr>
          <w:rFonts w:hint="eastAsia" w:ascii="宋体" w:hAnsi="宋体" w:cs="宋体"/>
        </w:rPr>
        <w:t>的鉴定和检测技术。</w:t>
      </w:r>
    </w:p>
    <w:p w14:paraId="55F23609">
      <w:pPr>
        <w:pStyle w:val="2"/>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黑体" w:hAnsi="黑体" w:eastAsia="黑体" w:cs="黑体"/>
        </w:rPr>
      </w:pPr>
      <w:r>
        <w:rPr>
          <w:rFonts w:hint="eastAsia" w:ascii="黑体" w:hAnsi="黑体" w:eastAsia="黑体" w:cs="黑体"/>
        </w:rPr>
        <w:t>5.1.1　水产养殖调水用品（生物类）组成。</w:t>
      </w:r>
    </w:p>
    <w:p w14:paraId="480FD95A">
      <w:pPr>
        <w:pStyle w:val="2"/>
        <w:keepNext w:val="0"/>
        <w:keepLines w:val="0"/>
        <w:pageBreakBefore w:val="0"/>
        <w:widowControl w:val="0"/>
        <w:kinsoku/>
        <w:wordWrap/>
        <w:overflowPunct/>
        <w:topLinePunct w:val="0"/>
        <w:autoSpaceDE/>
        <w:autoSpaceDN/>
        <w:bidi w:val="0"/>
        <w:adjustRightInd w:val="0"/>
        <w:snapToGrid/>
        <w:spacing w:after="0" w:line="276" w:lineRule="auto"/>
        <w:ind w:left="0" w:leftChars="0" w:firstLine="420" w:firstLineChars="200"/>
        <w:textAlignment w:val="auto"/>
      </w:pPr>
      <w:r>
        <w:rPr>
          <w:rFonts w:hint="eastAsia"/>
        </w:rPr>
        <w:t>明确构成的各类成份组成。</w:t>
      </w:r>
    </w:p>
    <w:p w14:paraId="2312229F">
      <w:pPr>
        <w:pStyle w:val="2"/>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黑体" w:hAnsi="黑体" w:eastAsia="黑体" w:cs="黑体"/>
        </w:rPr>
      </w:pPr>
      <w:r>
        <w:rPr>
          <w:rFonts w:hint="eastAsia" w:ascii="黑体" w:hAnsi="黑体" w:eastAsia="黑体" w:cs="黑体"/>
        </w:rPr>
        <w:t>5.1.2　菌剂各菌种</w:t>
      </w:r>
      <w:r>
        <w:rPr>
          <w:rFonts w:hint="eastAsia" w:ascii="黑体" w:hAnsi="黑体" w:eastAsia="黑体" w:cs="黑体"/>
          <w:lang w:eastAsia="zh-CN"/>
        </w:rPr>
        <w:t>（</w:t>
      </w:r>
      <w:r>
        <w:rPr>
          <w:rFonts w:hint="eastAsia" w:ascii="黑体" w:hAnsi="黑体" w:eastAsia="黑体" w:cs="黑体"/>
        </w:rPr>
        <w:t>株</w:t>
      </w:r>
      <w:r>
        <w:rPr>
          <w:rFonts w:hint="eastAsia" w:ascii="黑体" w:hAnsi="黑体" w:eastAsia="黑体" w:cs="黑体"/>
          <w:lang w:eastAsia="zh-CN"/>
        </w:rPr>
        <w:t>）</w:t>
      </w:r>
      <w:r>
        <w:rPr>
          <w:rFonts w:hint="eastAsia" w:ascii="黑体" w:hAnsi="黑体" w:eastAsia="黑体" w:cs="黑体"/>
        </w:rPr>
        <w:t>的来源及分类。</w:t>
      </w:r>
    </w:p>
    <w:p w14:paraId="09C6E7D6">
      <w:pPr>
        <w:pStyle w:val="2"/>
        <w:keepNext w:val="0"/>
        <w:keepLines w:val="0"/>
        <w:pageBreakBefore w:val="0"/>
        <w:widowControl w:val="0"/>
        <w:kinsoku/>
        <w:wordWrap/>
        <w:overflowPunct/>
        <w:topLinePunct w:val="0"/>
        <w:autoSpaceDE/>
        <w:autoSpaceDN/>
        <w:bidi w:val="0"/>
        <w:adjustRightInd w:val="0"/>
        <w:snapToGrid/>
        <w:spacing w:after="0" w:line="276" w:lineRule="auto"/>
        <w:ind w:left="0" w:leftChars="0" w:firstLine="420" w:firstLineChars="200"/>
        <w:textAlignment w:val="auto"/>
      </w:pPr>
      <w:r>
        <w:rPr>
          <w:rFonts w:hint="eastAsia"/>
        </w:rPr>
        <w:t>详细描述构成水产养殖调水用品（生物类）各种菌种</w:t>
      </w:r>
      <w:r>
        <w:rPr>
          <w:rFonts w:hint="eastAsia" w:ascii="宋体" w:hAnsi="宋体" w:cs="宋体"/>
        </w:rPr>
        <w:t>（株）</w:t>
      </w:r>
      <w:r>
        <w:rPr>
          <w:rFonts w:hint="eastAsia"/>
        </w:rPr>
        <w:t>的来源及其分类特征。</w:t>
      </w:r>
    </w:p>
    <w:p w14:paraId="7CFCD525">
      <w:pPr>
        <w:pStyle w:val="2"/>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黑体" w:hAnsi="黑体" w:eastAsia="黑体" w:cs="黑体"/>
          <w:highlight w:val="yellow"/>
        </w:rPr>
      </w:pPr>
      <w:r>
        <w:rPr>
          <w:rFonts w:hint="eastAsia" w:ascii="黑体" w:hAnsi="黑体" w:eastAsia="黑体" w:cs="黑体"/>
        </w:rPr>
        <w:t>5.1.3　菌剂各菌种</w:t>
      </w:r>
      <w:r>
        <w:rPr>
          <w:rFonts w:hint="eastAsia" w:ascii="黑体" w:hAnsi="黑体" w:eastAsia="黑体" w:cs="黑体"/>
          <w:lang w:eastAsia="zh-CN"/>
        </w:rPr>
        <w:t>（</w:t>
      </w:r>
      <w:r>
        <w:rPr>
          <w:rFonts w:hint="eastAsia" w:ascii="黑体" w:hAnsi="黑体" w:eastAsia="黑体" w:cs="黑体"/>
        </w:rPr>
        <w:t>株</w:t>
      </w:r>
      <w:r>
        <w:rPr>
          <w:rFonts w:hint="eastAsia" w:ascii="黑体" w:hAnsi="黑体" w:eastAsia="黑体" w:cs="黑体"/>
          <w:lang w:eastAsia="zh-CN"/>
        </w:rPr>
        <w:t>）</w:t>
      </w:r>
      <w:r>
        <w:rPr>
          <w:rFonts w:hint="eastAsia" w:ascii="黑体" w:hAnsi="黑体" w:eastAsia="黑体" w:cs="黑体"/>
        </w:rPr>
        <w:t>的危害分类。</w:t>
      </w:r>
    </w:p>
    <w:p w14:paraId="0A89DBA3">
      <w:pPr>
        <w:pStyle w:val="2"/>
        <w:keepNext w:val="0"/>
        <w:keepLines w:val="0"/>
        <w:pageBreakBefore w:val="0"/>
        <w:widowControl w:val="0"/>
        <w:kinsoku/>
        <w:wordWrap/>
        <w:overflowPunct/>
        <w:topLinePunct w:val="0"/>
        <w:autoSpaceDE/>
        <w:autoSpaceDN/>
        <w:bidi w:val="0"/>
        <w:adjustRightInd w:val="0"/>
        <w:snapToGrid/>
        <w:spacing w:after="0" w:line="276" w:lineRule="auto"/>
        <w:ind w:left="0" w:leftChars="0" w:firstLine="420" w:firstLineChars="20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根据《病原微生物实验室生物安全管理条例》和《动物病原微生物分类名录》，确定构成菌种（株）的微生物危害分类等级。参照资料性附录</w:t>
      </w:r>
      <w:r>
        <w:rPr>
          <w:rFonts w:hint="eastAsia" w:ascii="Times New Roman" w:hAnsi="Times New Roman" w:cs="Times New Roman"/>
          <w:kern w:val="2"/>
          <w:sz w:val="21"/>
          <w:szCs w:val="21"/>
          <w:lang w:val="en-US" w:eastAsia="zh-CN" w:bidi="ar-SA"/>
        </w:rPr>
        <w:t>A</w:t>
      </w:r>
      <w:r>
        <w:rPr>
          <w:rFonts w:hint="default" w:ascii="Times New Roman" w:hAnsi="Times New Roman" w:eastAsia="宋体" w:cs="Times New Roman"/>
          <w:kern w:val="2"/>
          <w:sz w:val="21"/>
          <w:szCs w:val="21"/>
          <w:lang w:val="en-US" w:eastAsia="zh-CN" w:bidi="ar-SA"/>
        </w:rPr>
        <w:t>。</w:t>
      </w:r>
    </w:p>
    <w:p w14:paraId="6F80463E">
      <w:pPr>
        <w:pStyle w:val="2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val="0"/>
        </w:rPr>
      </w:pPr>
      <w:r>
        <w:rPr>
          <w:rFonts w:hint="eastAsia" w:ascii="黑体" w:hAnsi="黑体" w:eastAsia="黑体" w:cs="黑体"/>
          <w:b w:val="0"/>
          <w:bCs w:val="0"/>
        </w:rPr>
        <w:t>5.2</w:t>
      </w:r>
      <w:r>
        <w:rPr>
          <w:rFonts w:hint="eastAsia" w:hAnsi="黑体" w:cs="黑体"/>
          <w:b w:val="0"/>
          <w:bCs w:val="0"/>
          <w:lang w:val="en-US" w:eastAsia="zh-CN"/>
        </w:rPr>
        <w:t xml:space="preserve"> </w:t>
      </w:r>
      <w:r>
        <w:rPr>
          <w:rFonts w:hint="eastAsia" w:ascii="黑体" w:hAnsi="黑体" w:eastAsia="黑体" w:cs="黑体"/>
          <w:b w:val="0"/>
          <w:bCs w:val="0"/>
        </w:rPr>
        <w:t>致病性评价</w:t>
      </w:r>
    </w:p>
    <w:p w14:paraId="2713A4CC">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hint="eastAsia" w:ascii="宋体" w:hAnsi="宋体" w:eastAsia="宋体" w:cs="宋体"/>
          <w:lang w:eastAsia="zh-CN"/>
        </w:rPr>
      </w:pPr>
      <w:r>
        <w:rPr>
          <w:rFonts w:hint="eastAsia" w:ascii="宋体" w:hAnsi="宋体" w:cs="宋体"/>
        </w:rPr>
        <w:t>通过</w:t>
      </w:r>
      <w:r>
        <w:rPr>
          <w:rFonts w:ascii="宋体" w:hAnsi="宋体" w:cs="宋体"/>
        </w:rPr>
        <w:t>溶血性</w:t>
      </w:r>
      <w:r>
        <w:rPr>
          <w:rFonts w:hint="eastAsia" w:ascii="宋体" w:hAnsi="宋体" w:cs="宋体"/>
        </w:rPr>
        <w:t>检测，评价生物体、菌种（株）的致病性。</w:t>
      </w:r>
      <w:r>
        <w:rPr>
          <w:rFonts w:hint="eastAsia" w:ascii="宋体" w:hAnsi="宋体"/>
        </w:rPr>
        <w:t>水产养殖调水用品（生物类）不得具有致病性。</w:t>
      </w:r>
      <w:r>
        <w:rPr>
          <w:rFonts w:hint="default" w:ascii="Times New Roman" w:hAnsi="Times New Roman" w:eastAsia="宋体" w:cs="Times New Roman"/>
          <w:kern w:val="2"/>
          <w:sz w:val="21"/>
          <w:szCs w:val="21"/>
          <w:lang w:val="en-US" w:eastAsia="zh-CN" w:bidi="ar-SA"/>
        </w:rPr>
        <w:t>溶血性检验</w:t>
      </w:r>
      <w:r>
        <w:rPr>
          <w:rFonts w:hint="eastAsia" w:ascii="Times New Roman" w:hAnsi="Times New Roman" w:eastAsia="宋体" w:cs="Times New Roman"/>
          <w:kern w:val="2"/>
          <w:sz w:val="21"/>
          <w:szCs w:val="21"/>
          <w:lang w:val="en-US" w:eastAsia="zh-CN" w:bidi="ar-SA"/>
        </w:rPr>
        <w:t>方法见资料性附录</w:t>
      </w:r>
      <w:r>
        <w:rPr>
          <w:rFonts w:hint="eastAsia" w:ascii="Times New Roman" w:hAnsi="Times New Roman" w:cs="Times New Roman"/>
          <w:kern w:val="2"/>
          <w:sz w:val="21"/>
          <w:szCs w:val="21"/>
          <w:lang w:val="en-US" w:eastAsia="zh-CN" w:bidi="ar-SA"/>
        </w:rPr>
        <w:t>B</w:t>
      </w:r>
      <w:r>
        <w:rPr>
          <w:rFonts w:hint="eastAsia" w:ascii="Times New Roman" w:hAnsi="Times New Roman" w:eastAsia="宋体" w:cs="Times New Roman"/>
          <w:kern w:val="2"/>
          <w:sz w:val="21"/>
          <w:szCs w:val="21"/>
          <w:lang w:val="en-US" w:eastAsia="zh-CN" w:bidi="ar-SA"/>
        </w:rPr>
        <w:t>。</w:t>
      </w:r>
    </w:p>
    <w:p w14:paraId="7350C1DD">
      <w:pPr>
        <w:pStyle w:val="2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val="0"/>
        </w:rPr>
      </w:pPr>
      <w:r>
        <w:rPr>
          <w:rFonts w:hint="eastAsia" w:ascii="黑体" w:hAnsi="黑体" w:eastAsia="黑体" w:cs="黑体"/>
          <w:b w:val="0"/>
          <w:bCs w:val="0"/>
        </w:rPr>
        <w:t>5.3</w:t>
      </w:r>
      <w:r>
        <w:rPr>
          <w:rFonts w:hint="eastAsia" w:hAnsi="黑体" w:cs="黑体"/>
          <w:b w:val="0"/>
          <w:bCs w:val="0"/>
          <w:lang w:val="en-US" w:eastAsia="zh-CN"/>
        </w:rPr>
        <w:t xml:space="preserve"> </w:t>
      </w:r>
      <w:r>
        <w:rPr>
          <w:rFonts w:hint="eastAsia" w:ascii="黑体" w:hAnsi="黑体" w:eastAsia="黑体" w:cs="黑体"/>
          <w:b w:val="0"/>
          <w:bCs w:val="0"/>
        </w:rPr>
        <w:t>耐药性评价</w:t>
      </w:r>
    </w:p>
    <w:p w14:paraId="7C2A3B2F">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hint="default" w:ascii="Times New Roman" w:hAnsi="Times New Roman" w:cs="Times New Roman"/>
          <w:highlight w:val="yellow"/>
        </w:rPr>
      </w:pPr>
      <w:r>
        <w:rPr>
          <w:rFonts w:hint="default" w:ascii="Times New Roman" w:hAnsi="Times New Roman" w:cs="Times New Roman"/>
        </w:rPr>
        <w:t>通过对常用抗菌药物的耐药性试验，掌握各组成菌种</w:t>
      </w:r>
      <w:r>
        <w:rPr>
          <w:rFonts w:hint="eastAsia" w:ascii="Times New Roman" w:hAnsi="Times New Roman" w:cs="Times New Roman"/>
          <w:lang w:eastAsia="zh-CN"/>
        </w:rPr>
        <w:t>（</w:t>
      </w:r>
      <w:r>
        <w:rPr>
          <w:rFonts w:hint="default" w:ascii="Times New Roman" w:hAnsi="Times New Roman" w:cs="Times New Roman"/>
        </w:rPr>
        <w:t>株</w:t>
      </w:r>
      <w:r>
        <w:rPr>
          <w:rFonts w:hint="eastAsia" w:ascii="Times New Roman" w:hAnsi="Times New Roman" w:cs="Times New Roman"/>
          <w:lang w:eastAsia="zh-CN"/>
        </w:rPr>
        <w:t>）</w:t>
      </w:r>
      <w:r>
        <w:rPr>
          <w:rFonts w:hint="default" w:ascii="Times New Roman" w:hAnsi="Times New Roman" w:cs="Times New Roman"/>
        </w:rPr>
        <w:t>对抗菌药物的耐药性，评价其对人畜健康及生态环境安全可能产生的有害影响及潜在风险。耐药性评价参照资料性附录</w:t>
      </w:r>
      <w:r>
        <w:rPr>
          <w:rFonts w:hint="eastAsia" w:ascii="Times New Roman" w:hAnsi="Times New Roman" w:cs="Times New Roman"/>
          <w:lang w:val="en-US" w:eastAsia="zh-CN"/>
        </w:rPr>
        <w:t>C</w:t>
      </w:r>
      <w:r>
        <w:rPr>
          <w:rFonts w:hint="default" w:ascii="Times New Roman" w:hAnsi="Times New Roman" w:cs="Times New Roman"/>
        </w:rPr>
        <w:t>。</w:t>
      </w:r>
    </w:p>
    <w:p w14:paraId="56B55990">
      <w:pPr>
        <w:pStyle w:val="2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val="0"/>
          <w:bCs w:val="0"/>
        </w:rPr>
      </w:pPr>
      <w:r>
        <w:rPr>
          <w:rFonts w:hint="eastAsia" w:ascii="黑体" w:hAnsi="黑体" w:eastAsia="黑体" w:cs="黑体"/>
          <w:b w:val="0"/>
          <w:bCs w:val="0"/>
        </w:rPr>
        <w:t>5.4</w:t>
      </w:r>
      <w:r>
        <w:rPr>
          <w:rFonts w:hint="eastAsia" w:hAnsi="黑体" w:cs="黑体"/>
          <w:b w:val="0"/>
          <w:bCs w:val="0"/>
          <w:lang w:val="en-US" w:eastAsia="zh-CN"/>
        </w:rPr>
        <w:t xml:space="preserve"> </w:t>
      </w:r>
      <w:r>
        <w:rPr>
          <w:rFonts w:hint="eastAsia" w:ascii="黑体" w:hAnsi="黑体" w:eastAsia="黑体" w:cs="黑体"/>
          <w:b w:val="0"/>
          <w:bCs w:val="0"/>
        </w:rPr>
        <w:t>生态安全评价</w:t>
      </w:r>
    </w:p>
    <w:p w14:paraId="0639D151">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hint="default" w:ascii="Times New Roman" w:hAnsi="Times New Roman" w:cs="Times New Roman"/>
        </w:rPr>
      </w:pPr>
      <w:r>
        <w:rPr>
          <w:rFonts w:hint="eastAsia" w:ascii="Times New Roman" w:hAnsi="Times New Roman" w:cs="Times New Roman"/>
        </w:rPr>
        <w:t>对水产养殖调水用品（生物类）及各类终产物进行生态安全评价，包括生态毒性评价和卫生学评价。</w:t>
      </w:r>
    </w:p>
    <w:p w14:paraId="731FC865">
      <w:pPr>
        <w:keepNext w:val="0"/>
        <w:keepLines w:val="0"/>
        <w:pageBreakBefore w:val="0"/>
        <w:widowControl w:val="0"/>
        <w:tabs>
          <w:tab w:val="left" w:pos="723"/>
        </w:tabs>
        <w:kinsoku/>
        <w:wordWrap/>
        <w:overflowPunct/>
        <w:topLinePunct w:val="0"/>
        <w:autoSpaceDE/>
        <w:autoSpaceDN/>
        <w:bidi w:val="0"/>
        <w:adjustRightInd w:val="0"/>
        <w:snapToGrid/>
        <w:ind w:left="0"/>
        <w:textAlignment w:val="auto"/>
        <w:outlineLvl w:val="3"/>
        <w:rPr>
          <w:rFonts w:hint="eastAsia" w:ascii="黑体" w:hAnsi="黑体" w:eastAsia="黑体" w:cs="黑体"/>
          <w:b w:val="0"/>
          <w:bCs w:val="0"/>
        </w:rPr>
      </w:pPr>
      <w:r>
        <w:rPr>
          <w:rFonts w:hint="eastAsia" w:ascii="黑体" w:hAnsi="黑体" w:eastAsia="黑体" w:cs="黑体"/>
          <w:b w:val="0"/>
          <w:bCs w:val="0"/>
        </w:rPr>
        <w:t>5.4.1生态毒性评价</w:t>
      </w:r>
    </w:p>
    <w:p w14:paraId="2557BED5">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宋体" w:hAnsi="宋体" w:cs="宋体"/>
        </w:rPr>
      </w:pPr>
      <w:r>
        <w:rPr>
          <w:rFonts w:hint="eastAsia" w:ascii="Times New Roman" w:hAnsi="Times New Roman" w:cs="Times New Roman"/>
        </w:rPr>
        <w:t>根据水产养殖调水用品（生物类）的使用环境以及终产物的最终排放形式，可选择藻类生长影响试验、水产养殖动物毒性试验等进行生态毒性测试，完成生物体及其终产物的生态毒性评价。生态毒性参照资料性附录</w:t>
      </w:r>
      <w:r>
        <w:rPr>
          <w:rFonts w:hint="eastAsia" w:ascii="Times New Roman" w:hAnsi="Times New Roman" w:cs="Times New Roman"/>
          <w:lang w:val="en-US" w:eastAsia="zh-CN"/>
        </w:rPr>
        <w:t>D</w:t>
      </w:r>
      <w:r>
        <w:rPr>
          <w:rFonts w:hint="eastAsia" w:ascii="Times New Roman" w:hAnsi="Times New Roman" w:cs="Times New Roman"/>
        </w:rPr>
        <w:t>。</w:t>
      </w:r>
    </w:p>
    <w:p w14:paraId="3240B9D6">
      <w:pPr>
        <w:keepNext w:val="0"/>
        <w:keepLines w:val="0"/>
        <w:pageBreakBefore w:val="0"/>
        <w:widowControl w:val="0"/>
        <w:tabs>
          <w:tab w:val="left" w:pos="723"/>
        </w:tabs>
        <w:kinsoku/>
        <w:wordWrap/>
        <w:overflowPunct/>
        <w:topLinePunct w:val="0"/>
        <w:autoSpaceDE/>
        <w:autoSpaceDN/>
        <w:bidi w:val="0"/>
        <w:adjustRightInd w:val="0"/>
        <w:snapToGrid/>
        <w:ind w:left="0"/>
        <w:textAlignment w:val="auto"/>
        <w:outlineLvl w:val="3"/>
        <w:rPr>
          <w:rFonts w:hint="eastAsia" w:ascii="黑体" w:hAnsi="黑体" w:eastAsia="黑体" w:cs="黑体"/>
          <w:b w:val="0"/>
          <w:bCs w:val="0"/>
        </w:rPr>
      </w:pPr>
      <w:r>
        <w:rPr>
          <w:rFonts w:hint="eastAsia" w:ascii="黑体" w:hAnsi="黑体" w:eastAsia="黑体" w:cs="黑体"/>
          <w:b w:val="0"/>
          <w:bCs w:val="0"/>
        </w:rPr>
        <w:t>5.4.2卫生学评价</w:t>
      </w:r>
    </w:p>
    <w:p w14:paraId="78261304">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hint="eastAsia" w:ascii="Times New Roman" w:hAnsi="Times New Roman" w:cs="Times New Roman"/>
        </w:rPr>
      </w:pPr>
      <w:r>
        <w:rPr>
          <w:rFonts w:hint="eastAsia" w:ascii="Times New Roman" w:hAnsi="Times New Roman" w:cs="Times New Roman"/>
        </w:rPr>
        <w:t>水产养殖调水用品</w:t>
      </w:r>
      <w:r>
        <w:rPr>
          <w:rFonts w:hint="eastAsia" w:ascii="Times New Roman" w:hAnsi="Times New Roman" w:cs="Times New Roman"/>
          <w:lang w:eastAsia="zh-CN"/>
        </w:rPr>
        <w:t>（</w:t>
      </w:r>
      <w:r>
        <w:rPr>
          <w:rFonts w:hint="eastAsia" w:ascii="Times New Roman" w:hAnsi="Times New Roman" w:cs="Times New Roman"/>
        </w:rPr>
        <w:t>生物类</w:t>
      </w:r>
      <w:r>
        <w:rPr>
          <w:rFonts w:hint="eastAsia" w:ascii="Times New Roman" w:hAnsi="Times New Roman" w:cs="Times New Roman"/>
          <w:lang w:eastAsia="zh-CN"/>
        </w:rPr>
        <w:t>）</w:t>
      </w:r>
      <w:r>
        <w:rPr>
          <w:rFonts w:hint="eastAsia" w:ascii="Times New Roman" w:hAnsi="Times New Roman" w:cs="Times New Roman"/>
        </w:rPr>
        <w:t>主要卫生指标包括气单胞菌、弧菌等病原菌均不得检出。检测方法参照资料性附录</w:t>
      </w:r>
      <w:r>
        <w:rPr>
          <w:rFonts w:hint="eastAsia" w:ascii="Times New Roman" w:hAnsi="Times New Roman" w:cs="Times New Roman"/>
          <w:lang w:val="en-US" w:eastAsia="zh-CN"/>
        </w:rPr>
        <w:t>E</w:t>
      </w:r>
      <w:r>
        <w:rPr>
          <w:rFonts w:hint="eastAsia" w:ascii="Times New Roman" w:hAnsi="Times New Roman" w:cs="Times New Roman"/>
        </w:rPr>
        <w:t>、附录</w:t>
      </w:r>
      <w:r>
        <w:rPr>
          <w:rFonts w:hint="eastAsia" w:ascii="Times New Roman" w:hAnsi="Times New Roman" w:cs="Times New Roman"/>
          <w:lang w:val="en-US" w:eastAsia="zh-CN"/>
        </w:rPr>
        <w:t>F</w:t>
      </w:r>
      <w:r>
        <w:rPr>
          <w:rFonts w:hint="eastAsia" w:ascii="Times New Roman" w:hAnsi="Times New Roman" w:cs="Times New Roman"/>
        </w:rPr>
        <w:t>。</w:t>
      </w:r>
    </w:p>
    <w:p w14:paraId="67B47D35">
      <w:pPr>
        <w:pStyle w:val="106"/>
        <w:keepNext w:val="0"/>
        <w:keepLines w:val="0"/>
        <w:pageBreakBefore w:val="0"/>
        <w:numPr>
          <w:ilvl w:val="0"/>
          <w:numId w:val="0"/>
        </w:numPr>
        <w:kinsoku/>
        <w:wordWrap/>
        <w:overflowPunct/>
        <w:topLinePunct w:val="0"/>
        <w:autoSpaceDE/>
        <w:autoSpaceDN/>
        <w:bidi w:val="0"/>
        <w:snapToGrid/>
        <w:spacing w:before="240" w:after="240"/>
        <w:ind w:firstLine="0" w:firstLineChars="0"/>
        <w:textAlignment w:val="auto"/>
      </w:pPr>
      <w:r>
        <w:rPr>
          <w:rFonts w:hint="eastAsia"/>
        </w:rPr>
        <w:t>6评价报告</w:t>
      </w:r>
    </w:p>
    <w:p w14:paraId="123444BB">
      <w:pPr>
        <w:keepNext w:val="0"/>
        <w:keepLines w:val="0"/>
        <w:pageBreakBefore w:val="0"/>
        <w:widowControl w:val="0"/>
        <w:kinsoku/>
        <w:wordWrap/>
        <w:overflowPunct/>
        <w:topLinePunct w:val="0"/>
        <w:autoSpaceDE/>
        <w:autoSpaceDN/>
        <w:bidi w:val="0"/>
        <w:adjustRightInd w:val="0"/>
        <w:snapToGrid/>
        <w:spacing w:line="276" w:lineRule="auto"/>
        <w:ind w:firstLine="0" w:firstLineChars="0"/>
        <w:textAlignment w:val="auto"/>
        <w:rPr>
          <w:rFonts w:hint="eastAsia" w:ascii="Times New Roman" w:hAnsi="Times New Roman" w:cs="Times New Roman"/>
        </w:rPr>
      </w:pPr>
      <w:r>
        <w:rPr>
          <w:rFonts w:hint="eastAsia" w:ascii="Times New Roman" w:hAnsi="Times New Roman" w:cs="Times New Roman"/>
        </w:rPr>
        <w:t>6.1 在安全性评价实施过程中，数据记录应真实、准确、完整、规范、清晰，并妥善保管。</w:t>
      </w:r>
    </w:p>
    <w:p w14:paraId="7A3D71AD">
      <w:pPr>
        <w:keepNext w:val="0"/>
        <w:keepLines w:val="0"/>
        <w:pageBreakBefore w:val="0"/>
        <w:widowControl w:val="0"/>
        <w:kinsoku/>
        <w:wordWrap/>
        <w:overflowPunct/>
        <w:topLinePunct w:val="0"/>
        <w:autoSpaceDE/>
        <w:autoSpaceDN/>
        <w:bidi w:val="0"/>
        <w:adjustRightInd w:val="0"/>
        <w:snapToGrid/>
        <w:spacing w:line="276" w:lineRule="auto"/>
        <w:ind w:firstLine="0" w:firstLineChars="0"/>
        <w:textAlignment w:val="auto"/>
        <w:rPr>
          <w:rFonts w:hint="eastAsia" w:ascii="Times New Roman" w:hAnsi="Times New Roman" w:cs="Times New Roman"/>
        </w:rPr>
      </w:pPr>
      <w:r>
        <w:rPr>
          <w:rFonts w:hint="eastAsia" w:ascii="Times New Roman" w:hAnsi="Times New Roman" w:cs="Times New Roman"/>
        </w:rPr>
        <w:t>6.2 数据的有效位数以所用仪器的精度为准，采用国家法定计量单位和国家推荐使用的单位。</w:t>
      </w:r>
    </w:p>
    <w:p w14:paraId="223EFF72">
      <w:pPr>
        <w:keepNext w:val="0"/>
        <w:keepLines w:val="0"/>
        <w:pageBreakBefore w:val="0"/>
        <w:widowControl w:val="0"/>
        <w:kinsoku/>
        <w:wordWrap/>
        <w:overflowPunct/>
        <w:topLinePunct w:val="0"/>
        <w:autoSpaceDE/>
        <w:autoSpaceDN/>
        <w:bidi w:val="0"/>
        <w:adjustRightInd w:val="0"/>
        <w:snapToGrid/>
        <w:spacing w:line="276" w:lineRule="auto"/>
        <w:ind w:firstLine="0" w:firstLineChars="0"/>
        <w:textAlignment w:val="auto"/>
        <w:rPr>
          <w:rFonts w:hint="eastAsia" w:ascii="Times New Roman" w:hAnsi="Times New Roman" w:cs="Times New Roman"/>
        </w:rPr>
      </w:pPr>
      <w:r>
        <w:rPr>
          <w:rFonts w:hint="eastAsia" w:ascii="Times New Roman" w:hAnsi="Times New Roman" w:cs="Times New Roman"/>
        </w:rPr>
        <w:t>6.3 根据不同的试验设计采用相应的统计分析方法进行数据分析。</w:t>
      </w:r>
    </w:p>
    <w:p w14:paraId="65DA8D28">
      <w:pPr>
        <w:keepNext w:val="0"/>
        <w:keepLines w:val="0"/>
        <w:pageBreakBefore w:val="0"/>
        <w:widowControl w:val="0"/>
        <w:kinsoku/>
        <w:wordWrap/>
        <w:overflowPunct/>
        <w:topLinePunct w:val="0"/>
        <w:autoSpaceDE/>
        <w:autoSpaceDN/>
        <w:bidi w:val="0"/>
        <w:adjustRightInd w:val="0"/>
        <w:snapToGrid/>
        <w:spacing w:line="276" w:lineRule="auto"/>
        <w:ind w:firstLine="0" w:firstLineChars="0"/>
        <w:textAlignment w:val="auto"/>
        <w:rPr>
          <w:rFonts w:hint="eastAsia" w:ascii="Times New Roman" w:hAnsi="Times New Roman" w:cs="Times New Roman"/>
        </w:rPr>
      </w:pPr>
      <w:r>
        <w:rPr>
          <w:rFonts w:hint="eastAsia" w:ascii="Times New Roman" w:hAnsi="Times New Roman" w:cs="Times New Roman"/>
        </w:rPr>
        <w:t>6.4每个安全性评价试验必须单独形成最终报告。每个试验最终报告中应包含试验概述和报告正文。</w:t>
      </w:r>
    </w:p>
    <w:p w14:paraId="0C662215">
      <w:pPr>
        <w:keepNext w:val="0"/>
        <w:keepLines w:val="0"/>
        <w:pageBreakBefore w:val="0"/>
        <w:widowControl w:val="0"/>
        <w:kinsoku/>
        <w:wordWrap/>
        <w:overflowPunct/>
        <w:topLinePunct w:val="0"/>
        <w:autoSpaceDE/>
        <w:autoSpaceDN/>
        <w:bidi w:val="0"/>
        <w:adjustRightInd w:val="0"/>
        <w:snapToGrid/>
        <w:spacing w:line="276" w:lineRule="auto"/>
        <w:ind w:firstLine="0" w:firstLineChars="0"/>
        <w:textAlignment w:val="auto"/>
        <w:rPr>
          <w:rFonts w:hint="eastAsia" w:ascii="Times New Roman" w:hAnsi="Times New Roman" w:cs="Times New Roman"/>
        </w:rPr>
      </w:pPr>
      <w:r>
        <w:rPr>
          <w:rFonts w:hint="eastAsia" w:ascii="Times New Roman" w:hAnsi="Times New Roman" w:cs="Times New Roman"/>
        </w:rPr>
        <w:t>试验报告正文至少应包括：</w:t>
      </w:r>
    </w:p>
    <w:p w14:paraId="45363E58">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a）</w:t>
      </w:r>
      <w:r>
        <w:rPr>
          <w:rFonts w:hint="eastAsia" w:ascii="Times New Roman" w:hAnsi="Times New Roman"/>
        </w:rPr>
        <w:t>试验名称；</w:t>
      </w:r>
    </w:p>
    <w:p w14:paraId="4D029115">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b）</w:t>
      </w:r>
      <w:r>
        <w:rPr>
          <w:rFonts w:hint="eastAsia" w:ascii="Times New Roman" w:hAnsi="Times New Roman"/>
        </w:rPr>
        <w:t>摘要；</w:t>
      </w:r>
    </w:p>
    <w:p w14:paraId="7684A7AB">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c）</w:t>
      </w:r>
      <w:r>
        <w:rPr>
          <w:rFonts w:hint="eastAsia" w:ascii="Times New Roman" w:hAnsi="Times New Roman"/>
        </w:rPr>
        <w:t>试验目的；</w:t>
      </w:r>
    </w:p>
    <w:p w14:paraId="5A21518B">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d）</w:t>
      </w:r>
      <w:r>
        <w:rPr>
          <w:rFonts w:hint="eastAsia" w:ascii="Times New Roman" w:hAnsi="Times New Roman"/>
        </w:rPr>
        <w:t>受试物；</w:t>
      </w:r>
    </w:p>
    <w:p w14:paraId="4B42163D">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e）</w:t>
      </w:r>
      <w:r>
        <w:rPr>
          <w:rFonts w:hint="eastAsia" w:ascii="Times New Roman" w:hAnsi="Times New Roman"/>
        </w:rPr>
        <w:t>试验时间和地点；</w:t>
      </w:r>
    </w:p>
    <w:p w14:paraId="415C0CB5">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f）</w:t>
      </w:r>
      <w:r>
        <w:rPr>
          <w:rFonts w:hint="eastAsia" w:ascii="Times New Roman" w:hAnsi="Times New Roman"/>
        </w:rPr>
        <w:t>试验材料和方法；</w:t>
      </w:r>
    </w:p>
    <w:p w14:paraId="036060D6">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g）</w:t>
      </w:r>
      <w:r>
        <w:rPr>
          <w:rFonts w:hint="eastAsia" w:ascii="Times New Roman" w:hAnsi="Times New Roman"/>
        </w:rPr>
        <w:t>结果与讨论；</w:t>
      </w:r>
    </w:p>
    <w:p w14:paraId="236FA67E">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h）</w:t>
      </w:r>
      <w:r>
        <w:rPr>
          <w:rFonts w:hint="eastAsia" w:ascii="Times New Roman" w:hAnsi="Times New Roman"/>
        </w:rPr>
        <w:t>结论；</w:t>
      </w:r>
    </w:p>
    <w:p w14:paraId="0D5304D2">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i）</w:t>
      </w:r>
      <w:r>
        <w:rPr>
          <w:rFonts w:hint="eastAsia" w:ascii="Times New Roman" w:hAnsi="Times New Roman"/>
        </w:rPr>
        <w:t>原始数据及相关的图表和照片；未纳入统计分析的数据或由于数据缺乏、数据丢失而无法评价的情况应具体说明；</w:t>
      </w:r>
    </w:p>
    <w:p w14:paraId="44ECA5FC">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j）</w:t>
      </w:r>
      <w:r>
        <w:rPr>
          <w:rFonts w:hint="eastAsia" w:ascii="Times New Roman" w:hAnsi="Times New Roman"/>
        </w:rPr>
        <w:t>参考文献；</w:t>
      </w:r>
    </w:p>
    <w:p w14:paraId="45A88924">
      <w:pPr>
        <w:keepNext w:val="0"/>
        <w:keepLines w:val="0"/>
        <w:pageBreakBefore w:val="0"/>
        <w:widowControl w:val="0"/>
        <w:kinsoku/>
        <w:wordWrap/>
        <w:overflowPunct/>
        <w:topLinePunct w:val="0"/>
        <w:autoSpaceDE/>
        <w:autoSpaceDN/>
        <w:bidi w:val="0"/>
        <w:adjustRightInd w:val="0"/>
        <w:snapToGrid/>
        <w:spacing w:line="276" w:lineRule="auto"/>
        <w:ind w:firstLine="420" w:firstLineChars="200"/>
        <w:textAlignment w:val="auto"/>
        <w:rPr>
          <w:rFonts w:ascii="Times New Roman" w:hAnsi="Times New Roman"/>
        </w:rPr>
      </w:pPr>
      <w:r>
        <w:rPr>
          <w:rFonts w:hint="eastAsia" w:ascii="Times New Roman" w:hAnsi="Times New Roman"/>
          <w:lang w:val="en-US" w:eastAsia="zh-CN"/>
        </w:rPr>
        <w:t>k）</w:t>
      </w:r>
      <w:r>
        <w:rPr>
          <w:rFonts w:hint="eastAsia" w:ascii="Times New Roman" w:hAnsi="Times New Roman"/>
        </w:rPr>
        <w:t>试验机构和操作人员，包括试验机构的名称，试验操作人员、试验负责人和报告签发人的签名，报告签发时间，加盖签发机构的单位公章或专门的分析测试章；委托检测的数据应提供检测机构出具的检测报告。</w:t>
      </w:r>
    </w:p>
    <w:p w14:paraId="6DA206B0">
      <w:pPr>
        <w:keepNext w:val="0"/>
        <w:keepLines w:val="0"/>
        <w:pageBreakBefore w:val="0"/>
        <w:widowControl w:val="0"/>
        <w:kinsoku/>
        <w:wordWrap/>
        <w:overflowPunct/>
        <w:topLinePunct w:val="0"/>
        <w:bidi w:val="0"/>
        <w:adjustRightInd w:val="0"/>
        <w:spacing w:line="276" w:lineRule="auto"/>
        <w:textAlignment w:val="auto"/>
        <w:rPr>
          <w:rFonts w:ascii="Times New Roman" w:hAnsi="Times New Roman"/>
        </w:rPr>
      </w:pPr>
      <w:r>
        <w:rPr>
          <w:rFonts w:hint="eastAsia" w:ascii="Times New Roman" w:hAnsi="Times New Roman"/>
        </w:rPr>
        <w:t>6.5 应对试验报告每页进行编码，格式为“第 页，共 页”，并加盖骑缝章，确保报告的完整性。</w:t>
      </w:r>
    </w:p>
    <w:p w14:paraId="7BE77B41">
      <w:pPr>
        <w:keepNext w:val="0"/>
        <w:keepLines w:val="0"/>
        <w:pageBreakBefore w:val="0"/>
        <w:widowControl w:val="0"/>
        <w:kinsoku/>
        <w:wordWrap/>
        <w:overflowPunct/>
        <w:topLinePunct w:val="0"/>
        <w:bidi w:val="0"/>
        <w:adjustRightInd w:val="0"/>
        <w:spacing w:line="276" w:lineRule="auto"/>
        <w:textAlignment w:val="auto"/>
        <w:rPr>
          <w:rFonts w:hint="default" w:ascii="Times New Roman" w:hAnsi="Times New Roman" w:cs="Times New Roman"/>
        </w:rPr>
      </w:pPr>
      <w:r>
        <w:rPr>
          <w:rFonts w:hint="default" w:ascii="Times New Roman" w:hAnsi="Times New Roman" w:cs="Times New Roman"/>
        </w:rPr>
        <w:t>6.6</w:t>
      </w:r>
      <w:r>
        <w:rPr>
          <w:rFonts w:hint="default" w:ascii="Times New Roman" w:hAnsi="Times New Roman" w:cs="Times New Roman"/>
          <w:lang w:val="en-US" w:eastAsia="zh-CN"/>
        </w:rPr>
        <w:t xml:space="preserve"> </w:t>
      </w:r>
      <w:r>
        <w:rPr>
          <w:rFonts w:hint="default" w:ascii="Times New Roman" w:hAnsi="Times New Roman" w:cs="Times New Roman"/>
        </w:rPr>
        <w:t>资料存档</w:t>
      </w:r>
    </w:p>
    <w:p w14:paraId="7A706D69">
      <w:pPr>
        <w:keepNext w:val="0"/>
        <w:keepLines w:val="0"/>
        <w:pageBreakBefore w:val="0"/>
        <w:widowControl w:val="0"/>
        <w:kinsoku/>
        <w:wordWrap/>
        <w:overflowPunct/>
        <w:topLinePunct w:val="0"/>
        <w:bidi w:val="0"/>
        <w:adjustRightInd w:val="0"/>
        <w:spacing w:line="276" w:lineRule="auto"/>
        <w:ind w:firstLine="420" w:firstLineChars="200"/>
        <w:textAlignment w:val="auto"/>
        <w:rPr>
          <w:rFonts w:hint="default" w:ascii="Times New Roman" w:hAnsi="Times New Roman" w:cs="Times New Roman"/>
        </w:rPr>
      </w:pPr>
      <w:r>
        <w:rPr>
          <w:rFonts w:hint="default" w:ascii="Times New Roman" w:hAnsi="Times New Roman" w:cs="Times New Roman"/>
        </w:rPr>
        <w:t>最终报告、原始记录、图表和照片、试验方案、受试物样品及其检测报告等原始资料应存档备查，保存时间一般不得少于5年。</w:t>
      </w:r>
    </w:p>
    <w:bookmarkEnd w:id="23"/>
    <w:p w14:paraId="1B876D52">
      <w:pPr>
        <w:pStyle w:val="58"/>
        <w:ind w:left="0" w:leftChars="0" w:firstLine="0" w:firstLineChars="0"/>
        <w:sectPr>
          <w:pgSz w:w="11906" w:h="16838"/>
          <w:pgMar w:top="1928" w:right="1134" w:bottom="1134" w:left="1134" w:header="1418" w:footer="1134" w:gutter="284"/>
          <w:pgNumType w:start="1"/>
          <w:cols w:space="425" w:num="1"/>
          <w:formProt w:val="0"/>
          <w:docGrid w:linePitch="312" w:charSpace="0"/>
        </w:sectPr>
      </w:pPr>
      <w:bookmarkStart w:id="49" w:name="BookMark6"/>
    </w:p>
    <w:p w14:paraId="61FC2E2B">
      <w:pPr>
        <w:keepNext/>
        <w:widowControl/>
        <w:shd w:val="clear" w:color="FFFFFF" w:fill="FFFFFF"/>
        <w:tabs>
          <w:tab w:val="left" w:pos="0"/>
          <w:tab w:val="left" w:pos="360"/>
          <w:tab w:val="left" w:pos="6405"/>
        </w:tabs>
        <w:adjustRightInd/>
        <w:spacing w:before="640" w:after="280" w:line="240" w:lineRule="auto"/>
        <w:jc w:val="center"/>
        <w:outlineLvl w:val="0"/>
        <w:rPr>
          <w:rFonts w:hint="eastAsia" w:ascii="Times New Roman" w:hAnsi="Times New Roman" w:eastAsia="黑体"/>
          <w:kern w:val="0"/>
          <w:szCs w:val="20"/>
          <w:lang w:val="en-US" w:eastAsia="zh-CN"/>
        </w:rPr>
      </w:pPr>
      <w:r>
        <w:rPr>
          <w:rFonts w:hint="eastAsia" w:ascii="Times New Roman" w:hAnsi="Times New Roman" w:eastAsia="黑体"/>
          <w:kern w:val="0"/>
          <w:szCs w:val="20"/>
        </w:rPr>
        <w:t>附录</w:t>
      </w:r>
      <w:r>
        <w:rPr>
          <w:rFonts w:hint="eastAsia" w:ascii="Times New Roman" w:hAnsi="Times New Roman" w:eastAsia="黑体"/>
          <w:kern w:val="0"/>
          <w:szCs w:val="20"/>
          <w:lang w:val="en-US" w:eastAsia="zh-CN"/>
        </w:rPr>
        <w:t>A</w:t>
      </w:r>
    </w:p>
    <w:p w14:paraId="378AFC18">
      <w:pPr>
        <w:pStyle w:val="2"/>
        <w:ind w:left="0" w:leftChars="0" w:firstLine="0" w:firstLineChars="0"/>
        <w:jc w:val="center"/>
        <w:rPr>
          <w:rFonts w:hint="eastAsia" w:ascii="Times New Roman" w:hAnsi="Times New Roman" w:eastAsia="黑体"/>
          <w:kern w:val="0"/>
          <w:szCs w:val="20"/>
          <w:lang w:val="en-US" w:eastAsia="zh-CN"/>
        </w:rPr>
      </w:pPr>
      <w:r>
        <w:rPr>
          <w:rFonts w:hint="eastAsia" w:ascii="Times New Roman" w:hAnsi="Times New Roman" w:eastAsia="黑体"/>
          <w:kern w:val="0"/>
          <w:szCs w:val="20"/>
          <w:lang w:val="en-US" w:eastAsia="zh-CN"/>
        </w:rPr>
        <w:t>（资料性）</w:t>
      </w:r>
    </w:p>
    <w:p w14:paraId="647D9369">
      <w:pPr>
        <w:pStyle w:val="2"/>
        <w:ind w:left="0" w:leftChars="0" w:firstLine="0" w:firstLineChars="0"/>
        <w:jc w:val="center"/>
        <w:rPr>
          <w:rFonts w:hint="eastAsia"/>
        </w:rPr>
      </w:pPr>
      <w:r>
        <w:rPr>
          <w:rFonts w:hint="eastAsia" w:ascii="Times New Roman" w:hAnsi="Times New Roman" w:eastAsia="黑体"/>
          <w:kern w:val="0"/>
          <w:szCs w:val="20"/>
          <w:lang w:val="en-US" w:eastAsia="zh-CN"/>
        </w:rPr>
        <w:t>动物病原微生物分类名录</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7967"/>
      </w:tblGrid>
      <w:tr w14:paraId="7262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0" w:type="dxa"/>
            <w:vAlign w:val="center"/>
          </w:tcPr>
          <w:p w14:paraId="7781C6E4">
            <w:pPr>
              <w:pStyle w:val="58"/>
              <w:ind w:firstLine="0" w:firstLineChars="0"/>
              <w:jc w:val="center"/>
            </w:pPr>
            <w:r>
              <w:rPr>
                <w:rFonts w:hint="eastAsia"/>
              </w:rPr>
              <w:t>类别</w:t>
            </w:r>
          </w:p>
        </w:tc>
        <w:tc>
          <w:tcPr>
            <w:tcW w:w="7967" w:type="dxa"/>
            <w:vAlign w:val="center"/>
          </w:tcPr>
          <w:p w14:paraId="01738834">
            <w:pPr>
              <w:pStyle w:val="58"/>
              <w:ind w:firstLine="0" w:firstLineChars="0"/>
            </w:pPr>
            <w:r>
              <w:rPr>
                <w:rFonts w:hint="eastAsia"/>
              </w:rPr>
              <w:t>动物病原微生物</w:t>
            </w:r>
          </w:p>
        </w:tc>
      </w:tr>
      <w:tr w14:paraId="5EAE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0" w:type="dxa"/>
            <w:vAlign w:val="center"/>
          </w:tcPr>
          <w:p w14:paraId="01BAA6D8">
            <w:pPr>
              <w:pStyle w:val="58"/>
              <w:ind w:firstLine="0" w:firstLineChars="0"/>
              <w:jc w:val="center"/>
            </w:pPr>
            <w:r>
              <w:rPr>
                <w:rFonts w:hint="eastAsia"/>
              </w:rPr>
              <w:t>一类</w:t>
            </w:r>
          </w:p>
        </w:tc>
        <w:tc>
          <w:tcPr>
            <w:tcW w:w="7967" w:type="dxa"/>
          </w:tcPr>
          <w:p w14:paraId="41582A56">
            <w:pPr>
              <w:pStyle w:val="58"/>
              <w:ind w:firstLine="420"/>
            </w:pPr>
            <w:r>
              <w:rPr>
                <w:rFonts w:hint="eastAsia"/>
              </w:rPr>
              <w:t>口蹄疫病毒、高致病性禽流感病毒、猪水泡病病毒、非洲猪瘟病毒、非洲马瘟病毒、牛瘟病毒、小反刍兽疫病毒、牛传染性胸膜肺炎丝状支原体、牛海绵状脑病病原、痒病病原。</w:t>
            </w:r>
          </w:p>
        </w:tc>
      </w:tr>
      <w:tr w14:paraId="39E0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0" w:type="dxa"/>
            <w:vAlign w:val="center"/>
          </w:tcPr>
          <w:p w14:paraId="4B58E5CA">
            <w:pPr>
              <w:pStyle w:val="58"/>
              <w:ind w:firstLine="0" w:firstLineChars="0"/>
              <w:jc w:val="center"/>
            </w:pPr>
            <w:r>
              <w:rPr>
                <w:rFonts w:hint="eastAsia"/>
              </w:rPr>
              <w:t>二类</w:t>
            </w:r>
          </w:p>
        </w:tc>
        <w:tc>
          <w:tcPr>
            <w:tcW w:w="7967" w:type="dxa"/>
          </w:tcPr>
          <w:p w14:paraId="15036FAD">
            <w:pPr>
              <w:pStyle w:val="58"/>
              <w:ind w:firstLine="420"/>
            </w:pPr>
            <w:r>
              <w:rPr>
                <w:rFonts w:hint="eastAsia"/>
              </w:rPr>
              <w:t>猪瘟病毒、鸡新城疫病毒、狂犬病病毒、绵羊痘/山羊痘病毒、蓝舌病病毒、兔病毒性出血症病毒、炭疽芽孢杆菌、布氏杆菌。</w:t>
            </w:r>
          </w:p>
        </w:tc>
      </w:tr>
      <w:tr w14:paraId="2BD5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0" w:type="dxa"/>
            <w:vAlign w:val="center"/>
          </w:tcPr>
          <w:p w14:paraId="10E60311">
            <w:pPr>
              <w:pStyle w:val="58"/>
              <w:ind w:firstLine="0" w:firstLineChars="0"/>
              <w:jc w:val="center"/>
            </w:pPr>
            <w:r>
              <w:rPr>
                <w:rFonts w:hint="eastAsia"/>
              </w:rPr>
              <w:t>三类</w:t>
            </w:r>
          </w:p>
        </w:tc>
        <w:tc>
          <w:tcPr>
            <w:tcW w:w="7967" w:type="dxa"/>
          </w:tcPr>
          <w:p w14:paraId="6CADD5FB">
            <w:pPr>
              <w:pStyle w:val="58"/>
              <w:ind w:firstLine="420"/>
            </w:pPr>
            <w:r>
              <w:rPr>
                <w:rFonts w:hint="eastAsia"/>
              </w:rPr>
              <w:t>多种动物共患病病原微生物：低致病性流感病毒、伪狂犬病病毒、破伤风梭菌、气肿疽梭菌、结核分支杆菌、副结核分支杆菌、致病性大肠杆菌、沙门氏菌、巴氏杆菌、致病性链球菌、李氏杆菌、产气荚膜梭菌、嗜水气单胞菌、肉毒梭状芽孢杆菌、腐败梭菌和其他致病性梭菌、鹦鹉热衣原体、放线菌、钩端螺旋体。</w:t>
            </w:r>
          </w:p>
          <w:p w14:paraId="64B7EAD1">
            <w:pPr>
              <w:pStyle w:val="58"/>
              <w:ind w:firstLine="420"/>
            </w:pPr>
            <w:r>
              <w:rPr>
                <w:rFonts w:hint="eastAsia"/>
              </w:rPr>
              <w:t>牛病病原微生物：牛恶性卡他热病毒、牛白血病病毒、牛流行热病毒、牛传染性鼻气管炎病毒、牛病毒腹泻/粘膜病病毒、牛生殖器弯曲杆菌、日本血吸虫。</w:t>
            </w:r>
          </w:p>
          <w:p w14:paraId="5AB491CD">
            <w:pPr>
              <w:pStyle w:val="58"/>
              <w:ind w:firstLine="420"/>
            </w:pPr>
            <w:r>
              <w:rPr>
                <w:rFonts w:hint="eastAsia"/>
              </w:rPr>
              <w:t>绵羊和山羊病病原微生物：山羊关节炎/脑脊髓炎病毒、梅迪/维斯纳病病毒、传染性脓疱皮炎病毒。</w:t>
            </w:r>
          </w:p>
          <w:p w14:paraId="1A906024">
            <w:pPr>
              <w:pStyle w:val="58"/>
              <w:ind w:firstLine="420"/>
            </w:pPr>
            <w:r>
              <w:rPr>
                <w:rFonts w:hint="eastAsia"/>
              </w:rPr>
              <w:t>猪病病原微生物：日本脑炎病毒、猪繁殖与呼吸综合症病毒、猪细小病毒、猪圆环病毒、猪流行性腹泻病毒、猪传染性胃肠炎病毒、猪丹毒杆菌、猪支气管败血波氏杆菌、猪胸膜肺炎放线杆菌、副猪嗜血杆菌、猪肺炎支原体、猪密螺旋体。</w:t>
            </w:r>
          </w:p>
          <w:p w14:paraId="24287CD6">
            <w:pPr>
              <w:pStyle w:val="58"/>
              <w:ind w:firstLine="420"/>
            </w:pPr>
            <w:r>
              <w:rPr>
                <w:rFonts w:hint="eastAsia"/>
              </w:rPr>
              <w:t>马病病原微生物：马传染性贫血病毒、马动脉炎病毒、马病毒性流产病毒、马鼻炎病毒、鼻疽假单胞菌、类鼻疽假单胞菌、假皮疽组织胞浆菌、溃疡性淋巴管炎假结核棒状杆菌。</w:t>
            </w:r>
          </w:p>
          <w:p w14:paraId="361560C2">
            <w:pPr>
              <w:pStyle w:val="58"/>
              <w:ind w:firstLine="420"/>
            </w:pPr>
            <w:r>
              <w:rPr>
                <w:rFonts w:hint="eastAsia"/>
              </w:rPr>
              <w:t>禽病病原微生物：鸭瘟病毒、鸭病毒性肝炎病毒、小鹅瘟病毒、鸡传染性法氏囊病病毒、鸡马立克氏病病毒、禽白血病/肉瘤病毒、禽网状内皮组织增殖病病毒、鸡传染性贫血病毒、鸡传染性喉气管炎病毒、鸡传染性支气管炎病毒、鸡减蛋综合征病毒、禽痘病毒、鸡病毒性关节炎病毒、禽传染性脑脊髓炎病毒、副鸡嗜血杆菌、鸡毒支原体、鸡球虫。</w:t>
            </w:r>
          </w:p>
          <w:p w14:paraId="12EED022">
            <w:pPr>
              <w:pStyle w:val="58"/>
              <w:ind w:firstLine="0" w:firstLineChars="0"/>
            </w:pPr>
            <w:r>
              <w:rPr>
                <w:rFonts w:hint="eastAsia"/>
              </w:rPr>
              <w:t>兔病病原微生物：兔粘液瘤病病毒、野兔热土拉杆菌、兔支气管败血波氏杆菌、兔球虫。</w:t>
            </w:r>
          </w:p>
          <w:p w14:paraId="094594D3">
            <w:pPr>
              <w:pStyle w:val="58"/>
              <w:ind w:firstLine="420"/>
            </w:pPr>
            <w:r>
              <w:rPr>
                <w:rFonts w:hint="eastAsia"/>
              </w:rPr>
              <w:t>水生动物病病原微生物：流行性造血器官坏死病毒、传染性造血器官坏死病毒、马苏大麻哈鱼病毒、病毒性出血性败血症病毒、锦鲤疱疹病毒、斑点叉尾鮰病毒、病毒性脑病和视网膜病毒、传染性胰脏坏死病毒、真鲷虹彩病毒、白鲟虹彩病毒、中肠腺坏死杆状病毒、传染性皮下和造血器官坏死病毒、核多角体杆状病毒、虾产卵死亡综合症病毒、鳖鳃腺炎病毒、Taura综合症病毒、对虾白斑综合症病毒、黄头病病毒、草鱼出血病毒、鲤春病毒血症病毒、鲍球形病毒、鲑鱼传染性贫血病毒。</w:t>
            </w:r>
          </w:p>
          <w:p w14:paraId="71B5E934">
            <w:pPr>
              <w:pStyle w:val="58"/>
              <w:ind w:firstLine="420"/>
            </w:pPr>
            <w:r>
              <w:rPr>
                <w:rFonts w:hint="eastAsia"/>
              </w:rPr>
              <w:t>蜜蜂病病原微生物：美洲幼虫腐臭病幼虫杆菌、欧洲幼虫腐臭病蜂房蜜蜂球菌、白垩病蜂球囊菌、蜜蜂微孢子虫、跗腺螨、雅氏大蜂螨。</w:t>
            </w:r>
          </w:p>
          <w:p w14:paraId="100A9248">
            <w:pPr>
              <w:pStyle w:val="58"/>
              <w:ind w:firstLine="0" w:firstLineChars="0"/>
            </w:pPr>
            <w:r>
              <w:rPr>
                <w:rFonts w:hint="eastAsia"/>
              </w:rPr>
              <w:t>其他动物病病原微生物：犬瘟热病毒、犬细小病毒、犬腺病毒、犬冠状病毒、犬副流感病毒、猫泛白细胞减少综合症病毒、水貂阿留申病病毒、水貂病毒性肠炎病毒。</w:t>
            </w:r>
          </w:p>
        </w:tc>
      </w:tr>
      <w:tr w14:paraId="1F41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0" w:type="dxa"/>
            <w:vAlign w:val="center"/>
          </w:tcPr>
          <w:p w14:paraId="0A5DD59F">
            <w:pPr>
              <w:pStyle w:val="58"/>
              <w:ind w:firstLine="0" w:firstLineChars="0"/>
              <w:jc w:val="center"/>
            </w:pPr>
            <w:r>
              <w:rPr>
                <w:rFonts w:hint="eastAsia"/>
              </w:rPr>
              <w:t>四类</w:t>
            </w:r>
          </w:p>
        </w:tc>
        <w:tc>
          <w:tcPr>
            <w:tcW w:w="7967" w:type="dxa"/>
          </w:tcPr>
          <w:p w14:paraId="4CC1A384">
            <w:pPr>
              <w:pStyle w:val="58"/>
              <w:ind w:firstLine="420"/>
            </w:pPr>
            <w:r>
              <w:rPr>
                <w:rFonts w:hint="eastAsia"/>
              </w:rPr>
              <w:t>是指危险性小、低致病力、实验室感染机会少的兽用生物制品、疫苗生产用的各种弱毒病原微生物以及不属于第一、二、三类的各种低毒力的病原微生物。</w:t>
            </w:r>
          </w:p>
        </w:tc>
      </w:tr>
    </w:tbl>
    <w:p w14:paraId="29AEE4BD">
      <w:pPr>
        <w:pStyle w:val="58"/>
        <w:ind w:firstLine="0" w:firstLineChars="0"/>
      </w:pPr>
    </w:p>
    <w:p w14:paraId="3579942B">
      <w:pPr>
        <w:keepNext/>
        <w:widowControl/>
        <w:shd w:val="clear" w:color="FFFFFF" w:fill="FFFFFF"/>
        <w:tabs>
          <w:tab w:val="left" w:pos="0"/>
          <w:tab w:val="left" w:pos="360"/>
          <w:tab w:val="left" w:pos="6405"/>
        </w:tabs>
        <w:adjustRightInd/>
        <w:spacing w:before="640" w:after="280" w:line="240" w:lineRule="auto"/>
        <w:jc w:val="center"/>
        <w:outlineLvl w:val="0"/>
        <w:rPr>
          <w:rFonts w:hint="eastAsia" w:ascii="Times New Roman" w:hAnsi="Times New Roman" w:eastAsia="黑体"/>
          <w:kern w:val="0"/>
          <w:szCs w:val="20"/>
          <w:lang w:eastAsia="zh-CN"/>
        </w:rPr>
      </w:pPr>
      <w:r>
        <w:rPr>
          <w:rFonts w:hint="eastAsia" w:ascii="Times New Roman" w:hAnsi="Times New Roman" w:eastAsia="黑体"/>
          <w:kern w:val="0"/>
          <w:szCs w:val="20"/>
        </w:rPr>
        <w:t>附录</w:t>
      </w:r>
      <w:r>
        <w:rPr>
          <w:rFonts w:hint="eastAsia" w:ascii="Times New Roman" w:hAnsi="Times New Roman" w:eastAsia="黑体"/>
          <w:kern w:val="0"/>
          <w:szCs w:val="20"/>
          <w:lang w:val="en-US" w:eastAsia="zh-CN"/>
        </w:rPr>
        <w:t>B</w:t>
      </w:r>
    </w:p>
    <w:p w14:paraId="14360400">
      <w:pPr>
        <w:pStyle w:val="15"/>
        <w:ind w:left="420" w:firstLine="3780" w:firstLineChars="1800"/>
        <w:rPr>
          <w:rFonts w:hint="eastAsia" w:ascii="Times New Roman" w:hAnsi="Times New Roman" w:eastAsia="黑体"/>
          <w:kern w:val="0"/>
          <w:szCs w:val="20"/>
        </w:rPr>
      </w:pPr>
      <w:r>
        <w:rPr>
          <w:rFonts w:hint="eastAsia" w:ascii="Times New Roman" w:hAnsi="Times New Roman" w:eastAsia="黑体"/>
          <w:kern w:val="0"/>
          <w:szCs w:val="20"/>
        </w:rPr>
        <w:t>（资料性）</w:t>
      </w:r>
    </w:p>
    <w:p w14:paraId="77442753">
      <w:pPr>
        <w:snapToGrid w:val="0"/>
        <w:spacing w:line="360" w:lineRule="auto"/>
        <w:jc w:val="center"/>
        <w:rPr>
          <w:rFonts w:ascii="Times New Roman" w:hAnsi="Times New Roman" w:eastAsia="黑体"/>
          <w:kern w:val="0"/>
          <w:szCs w:val="20"/>
        </w:rPr>
      </w:pPr>
      <w:r>
        <w:rPr>
          <w:rFonts w:ascii="Times New Roman" w:hAnsi="Times New Roman" w:eastAsia="黑体"/>
          <w:kern w:val="0"/>
          <w:szCs w:val="20"/>
        </w:rPr>
        <w:t>溶血性检验</w:t>
      </w:r>
      <w:r>
        <w:rPr>
          <w:rFonts w:hint="eastAsia" w:ascii="Times New Roman" w:hAnsi="Times New Roman" w:eastAsia="黑体"/>
          <w:kern w:val="0"/>
          <w:szCs w:val="20"/>
        </w:rPr>
        <w:t>方法</w:t>
      </w:r>
    </w:p>
    <w:p w14:paraId="65672A7F">
      <w:pPr>
        <w:keepNext w:val="0"/>
        <w:keepLines w:val="0"/>
        <w:pageBreakBefore w:val="0"/>
        <w:widowControl w:val="0"/>
        <w:numPr>
          <w:ilvl w:val="0"/>
          <w:numId w:val="34"/>
        </w:numPr>
        <w:kinsoku/>
        <w:wordWrap/>
        <w:overflowPunct/>
        <w:topLinePunct w:val="0"/>
        <w:autoSpaceDE/>
        <w:autoSpaceDN/>
        <w:bidi w:val="0"/>
        <w:adjustRightInd w:val="0"/>
        <w:snapToGrid w:val="0"/>
        <w:spacing w:before="157" w:beforeLines="50" w:after="157" w:afterLines="50" w:line="276" w:lineRule="auto"/>
        <w:ind w:firstLine="425"/>
        <w:textAlignment w:val="auto"/>
        <w:rPr>
          <w:rFonts w:hint="eastAsia" w:ascii="黑体" w:hAnsi="黑体" w:eastAsia="黑体" w:cs="黑体"/>
          <w:szCs w:val="22"/>
        </w:rPr>
      </w:pPr>
      <w:r>
        <w:rPr>
          <w:rFonts w:hint="eastAsia" w:ascii="黑体" w:hAnsi="黑体" w:eastAsia="黑体" w:cs="黑体"/>
          <w:szCs w:val="22"/>
        </w:rPr>
        <w:t>培养基的制备</w:t>
      </w:r>
    </w:p>
    <w:p w14:paraId="0CA58541">
      <w:pPr>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firstLine="420" w:firstLineChars="200"/>
        <w:textAlignment w:val="auto"/>
        <w:rPr>
          <w:rFonts w:ascii="Times New Roman" w:hAnsi="Times New Roman"/>
          <w:szCs w:val="22"/>
        </w:rPr>
      </w:pPr>
      <w:r>
        <w:rPr>
          <w:rFonts w:ascii="Times New Roman" w:hAnsi="Times New Roman"/>
          <w:szCs w:val="22"/>
        </w:rPr>
        <w:t>采取健康的</w:t>
      </w:r>
      <w:r>
        <w:rPr>
          <w:rFonts w:hint="eastAsia" w:ascii="Times New Roman" w:hAnsi="Times New Roman"/>
          <w:szCs w:val="22"/>
        </w:rPr>
        <w:t>水产养殖动物</w:t>
      </w:r>
      <w:r>
        <w:rPr>
          <w:rFonts w:ascii="Times New Roman" w:hAnsi="Times New Roman"/>
          <w:szCs w:val="22"/>
        </w:rPr>
        <w:t>新鲜血液</w:t>
      </w:r>
      <w:r>
        <w:rPr>
          <w:rFonts w:hint="eastAsia" w:ascii="Times New Roman" w:hAnsi="Times New Roman"/>
          <w:szCs w:val="22"/>
        </w:rPr>
        <w:t>，</w:t>
      </w:r>
      <w:r>
        <w:rPr>
          <w:rFonts w:ascii="Times New Roman" w:hAnsi="Times New Roman"/>
          <w:szCs w:val="22"/>
        </w:rPr>
        <w:t>用20 mmol/L Tris盐溶缓冲液</w:t>
      </w:r>
      <w:r>
        <w:rPr>
          <w:rFonts w:hint="eastAsia" w:ascii="Times New Roman" w:hAnsi="Times New Roman"/>
          <w:szCs w:val="22"/>
          <w:lang w:eastAsia="zh-CN"/>
        </w:rPr>
        <w:t>（</w:t>
      </w:r>
      <w:r>
        <w:rPr>
          <w:rFonts w:ascii="Times New Roman" w:hAnsi="Times New Roman"/>
          <w:szCs w:val="22"/>
        </w:rPr>
        <w:t>TBS</w:t>
      </w:r>
      <w:r>
        <w:rPr>
          <w:rFonts w:hint="eastAsia" w:ascii="Times New Roman" w:hAnsi="Times New Roman"/>
          <w:szCs w:val="22"/>
          <w:lang w:eastAsia="zh-CN"/>
        </w:rPr>
        <w:t>：</w:t>
      </w:r>
      <w:r>
        <w:rPr>
          <w:rFonts w:ascii="Times New Roman" w:hAnsi="Times New Roman"/>
          <w:szCs w:val="22"/>
        </w:rPr>
        <w:t>pH</w:t>
      </w:r>
      <w:r>
        <w:rPr>
          <w:rFonts w:hint="eastAsia" w:ascii="Times New Roman" w:hAnsi="Times New Roman"/>
          <w:szCs w:val="22"/>
          <w:lang w:val="en-US" w:eastAsia="zh-CN"/>
        </w:rPr>
        <w:t xml:space="preserve"> </w:t>
      </w:r>
      <w:r>
        <w:rPr>
          <w:rFonts w:ascii="Times New Roman" w:hAnsi="Times New Roman"/>
          <w:szCs w:val="22"/>
        </w:rPr>
        <w:t>=</w:t>
      </w:r>
      <w:r>
        <w:rPr>
          <w:rFonts w:hint="eastAsia" w:ascii="Times New Roman" w:hAnsi="Times New Roman"/>
          <w:szCs w:val="22"/>
          <w:lang w:val="en-US" w:eastAsia="zh-CN"/>
        </w:rPr>
        <w:t xml:space="preserve"> </w:t>
      </w:r>
      <w:r>
        <w:rPr>
          <w:rFonts w:ascii="Times New Roman" w:hAnsi="Times New Roman"/>
          <w:szCs w:val="22"/>
        </w:rPr>
        <w:t>7</w:t>
      </w:r>
      <w:r>
        <w:rPr>
          <w:rFonts w:hint="eastAsia" w:ascii="Times New Roman" w:hAnsi="Times New Roman"/>
          <w:szCs w:val="22"/>
        </w:rPr>
        <w:t>.</w:t>
      </w:r>
      <w:r>
        <w:rPr>
          <w:rFonts w:ascii="Times New Roman" w:hAnsi="Times New Roman"/>
          <w:szCs w:val="22"/>
        </w:rPr>
        <w:t>5</w:t>
      </w:r>
      <w:r>
        <w:rPr>
          <w:rFonts w:hint="eastAsia" w:ascii="Times New Roman" w:hAnsi="Times New Roman"/>
          <w:szCs w:val="22"/>
          <w:lang w:eastAsia="zh-CN"/>
        </w:rPr>
        <w:t>）</w:t>
      </w:r>
      <w:r>
        <w:rPr>
          <w:rFonts w:ascii="Times New Roman" w:hAnsi="Times New Roman"/>
          <w:szCs w:val="22"/>
        </w:rPr>
        <w:t>洗涤3次</w:t>
      </w:r>
      <w:r>
        <w:rPr>
          <w:rFonts w:hint="eastAsia" w:ascii="Times New Roman" w:hAnsi="Times New Roman"/>
          <w:szCs w:val="22"/>
          <w:lang w:eastAsia="zh-CN"/>
        </w:rPr>
        <w:t>（</w:t>
      </w:r>
      <w:r>
        <w:rPr>
          <w:rFonts w:ascii="Times New Roman" w:hAnsi="Times New Roman"/>
          <w:szCs w:val="22"/>
        </w:rPr>
        <w:t>2000 g 4 ℃离心3 min</w:t>
      </w:r>
      <w:r>
        <w:rPr>
          <w:rFonts w:hint="eastAsia" w:ascii="Times New Roman" w:hAnsi="Times New Roman"/>
          <w:szCs w:val="22"/>
          <w:lang w:eastAsia="zh-CN"/>
        </w:rPr>
        <w:t>）</w:t>
      </w:r>
      <w:r>
        <w:rPr>
          <w:rFonts w:hint="eastAsia" w:ascii="Times New Roman" w:hAnsi="Times New Roman"/>
          <w:szCs w:val="22"/>
        </w:rPr>
        <w:t>，</w:t>
      </w:r>
      <w:r>
        <w:rPr>
          <w:rFonts w:ascii="Times New Roman" w:hAnsi="Times New Roman"/>
          <w:szCs w:val="22"/>
        </w:rPr>
        <w:t>最后用TBS配制成10%细胞悬液。营养琼脂培养基熔化后，冷却到55</w:t>
      </w:r>
      <w:r>
        <w:rPr>
          <w:rFonts w:hint="eastAsia" w:ascii="Times New Roman" w:hAnsi="Times New Roman"/>
          <w:szCs w:val="22"/>
          <w:lang w:val="en-US" w:eastAsia="zh-CN"/>
        </w:rPr>
        <w:t xml:space="preserve"> </w:t>
      </w:r>
      <w:r>
        <w:rPr>
          <w:rFonts w:ascii="Times New Roman" w:hAnsi="Times New Roman"/>
          <w:szCs w:val="22"/>
        </w:rPr>
        <w:t>℃，无菌地加入已灭菌的3 mL 10%</w:t>
      </w:r>
      <w:r>
        <w:rPr>
          <w:rFonts w:hint="eastAsia" w:ascii="Times New Roman" w:hAnsi="Times New Roman"/>
          <w:szCs w:val="22"/>
        </w:rPr>
        <w:t>水产养殖动物</w:t>
      </w:r>
      <w:r>
        <w:rPr>
          <w:rFonts w:ascii="Times New Roman" w:hAnsi="Times New Roman"/>
          <w:szCs w:val="22"/>
        </w:rPr>
        <w:t>细胞悬液。用手旋转或翻转试管使其混合，倒入培养皿中。</w:t>
      </w:r>
    </w:p>
    <w:p w14:paraId="51D0E045">
      <w:pPr>
        <w:keepNext w:val="0"/>
        <w:keepLines w:val="0"/>
        <w:pageBreakBefore w:val="0"/>
        <w:widowControl w:val="0"/>
        <w:numPr>
          <w:ilvl w:val="0"/>
          <w:numId w:val="34"/>
        </w:numPr>
        <w:kinsoku/>
        <w:wordWrap/>
        <w:overflowPunct/>
        <w:topLinePunct w:val="0"/>
        <w:autoSpaceDE/>
        <w:autoSpaceDN/>
        <w:bidi w:val="0"/>
        <w:adjustRightInd w:val="0"/>
        <w:snapToGrid w:val="0"/>
        <w:spacing w:before="157" w:beforeLines="50" w:after="157" w:afterLines="50" w:line="276" w:lineRule="auto"/>
        <w:ind w:firstLine="425"/>
        <w:textAlignment w:val="auto"/>
        <w:rPr>
          <w:rFonts w:hint="eastAsia" w:ascii="黑体" w:hAnsi="黑体" w:eastAsia="黑体" w:cs="黑体"/>
          <w:szCs w:val="22"/>
        </w:rPr>
      </w:pPr>
      <w:r>
        <w:rPr>
          <w:rFonts w:hint="eastAsia" w:ascii="黑体" w:hAnsi="黑体" w:eastAsia="黑体" w:cs="黑体"/>
          <w:szCs w:val="22"/>
        </w:rPr>
        <w:t>菌种培养</w:t>
      </w:r>
    </w:p>
    <w:p w14:paraId="44F5C9E2">
      <w:pPr>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left="425" w:leftChars="0"/>
        <w:textAlignment w:val="auto"/>
        <w:rPr>
          <w:rFonts w:ascii="Times New Roman" w:hAnsi="Times New Roman"/>
          <w:szCs w:val="22"/>
        </w:rPr>
      </w:pPr>
      <w:r>
        <w:rPr>
          <w:rFonts w:hint="eastAsia" w:ascii="Times New Roman" w:hAnsi="Times New Roman"/>
          <w:szCs w:val="22"/>
        </w:rPr>
        <w:t>微生物</w:t>
      </w:r>
      <w:r>
        <w:rPr>
          <w:rFonts w:ascii="Times New Roman" w:hAnsi="Times New Roman"/>
          <w:szCs w:val="22"/>
        </w:rPr>
        <w:t>可以倾倒平板接种，也可以划线接种。</w:t>
      </w:r>
      <w:r>
        <w:rPr>
          <w:rFonts w:hint="eastAsia" w:ascii="Times New Roman" w:hAnsi="Times New Roman"/>
          <w:szCs w:val="22"/>
        </w:rPr>
        <w:t>适宜温度</w:t>
      </w:r>
      <w:r>
        <w:rPr>
          <w:rFonts w:ascii="Times New Roman" w:hAnsi="Times New Roman"/>
          <w:szCs w:val="22"/>
        </w:rPr>
        <w:t>过夜培养。</w:t>
      </w:r>
    </w:p>
    <w:p w14:paraId="5726D53A">
      <w:pPr>
        <w:keepNext w:val="0"/>
        <w:keepLines w:val="0"/>
        <w:pageBreakBefore w:val="0"/>
        <w:widowControl w:val="0"/>
        <w:numPr>
          <w:ilvl w:val="0"/>
          <w:numId w:val="34"/>
        </w:numPr>
        <w:kinsoku/>
        <w:wordWrap/>
        <w:overflowPunct/>
        <w:topLinePunct w:val="0"/>
        <w:autoSpaceDE/>
        <w:autoSpaceDN/>
        <w:bidi w:val="0"/>
        <w:adjustRightInd w:val="0"/>
        <w:snapToGrid w:val="0"/>
        <w:spacing w:before="157" w:beforeLines="50" w:after="157" w:afterLines="50" w:line="276" w:lineRule="auto"/>
        <w:ind w:firstLine="425"/>
        <w:textAlignment w:val="auto"/>
        <w:rPr>
          <w:rFonts w:hint="eastAsia" w:ascii="黑体" w:hAnsi="黑体" w:eastAsia="黑体" w:cs="黑体"/>
          <w:szCs w:val="22"/>
        </w:rPr>
      </w:pPr>
      <w:r>
        <w:rPr>
          <w:rFonts w:hint="eastAsia" w:ascii="黑体" w:hAnsi="黑体" w:eastAsia="黑体" w:cs="黑体"/>
          <w:szCs w:val="22"/>
        </w:rPr>
        <w:t>结果观察</w:t>
      </w:r>
    </w:p>
    <w:p w14:paraId="244EB094">
      <w:pPr>
        <w:keepNext w:val="0"/>
        <w:keepLines w:val="0"/>
        <w:pageBreakBefore w:val="0"/>
        <w:widowControl w:val="0"/>
        <w:numPr>
          <w:ilvl w:val="0"/>
          <w:numId w:val="0"/>
        </w:numPr>
        <w:kinsoku/>
        <w:wordWrap/>
        <w:overflowPunct/>
        <w:topLinePunct w:val="0"/>
        <w:autoSpaceDE/>
        <w:autoSpaceDN/>
        <w:bidi w:val="0"/>
        <w:adjustRightInd w:val="0"/>
        <w:snapToGrid w:val="0"/>
        <w:spacing w:line="276" w:lineRule="auto"/>
        <w:ind w:firstLine="420" w:firstLineChars="200"/>
        <w:textAlignment w:val="auto"/>
        <w:rPr>
          <w:rFonts w:ascii="Times New Roman" w:hAnsi="Times New Roman"/>
          <w:szCs w:val="22"/>
        </w:rPr>
      </w:pPr>
      <w:r>
        <w:rPr>
          <w:rFonts w:hint="eastAsia" w:ascii="Times New Roman" w:hAnsi="Times New Roman"/>
          <w:szCs w:val="22"/>
          <w:lang w:val="en-US" w:eastAsia="zh-CN"/>
        </w:rPr>
        <w:t>若</w:t>
      </w:r>
      <w:r>
        <w:rPr>
          <w:rFonts w:ascii="Times New Roman" w:hAnsi="Times New Roman"/>
          <w:szCs w:val="22"/>
        </w:rPr>
        <w:t>菌落周围有清晰的环带出现，则表明有溶血现象</w:t>
      </w:r>
      <w:r>
        <w:rPr>
          <w:rFonts w:hint="eastAsia" w:ascii="Times New Roman" w:hAnsi="Times New Roman"/>
          <w:szCs w:val="22"/>
          <w:lang w:eastAsia="zh-CN"/>
        </w:rPr>
        <w:t>，</w:t>
      </w:r>
      <w:r>
        <w:rPr>
          <w:rFonts w:hint="eastAsia" w:ascii="Times New Roman" w:hAnsi="Times New Roman"/>
          <w:szCs w:val="22"/>
          <w:lang w:val="en-US" w:eastAsia="zh-CN"/>
        </w:rPr>
        <w:t>即</w:t>
      </w:r>
      <w:r>
        <w:rPr>
          <w:rFonts w:hint="eastAsia" w:ascii="Times New Roman" w:hAnsi="Times New Roman"/>
          <w:szCs w:val="22"/>
        </w:rPr>
        <w:t>微生物</w:t>
      </w:r>
      <w:r>
        <w:rPr>
          <w:rFonts w:ascii="Times New Roman" w:hAnsi="Times New Roman"/>
          <w:szCs w:val="22"/>
        </w:rPr>
        <w:t>在卵磷脂平板上形成1个外圈透明内圈混浊的同心圆。最终确定溶血素的检出率。</w:t>
      </w:r>
    </w:p>
    <w:p w14:paraId="79D8F08F">
      <w:pPr>
        <w:snapToGrid w:val="0"/>
        <w:spacing w:line="360" w:lineRule="auto"/>
        <w:rPr>
          <w:rFonts w:ascii="Times New Roman" w:hAnsi="Times New Roman"/>
          <w:szCs w:val="22"/>
        </w:rPr>
      </w:pPr>
    </w:p>
    <w:p w14:paraId="12919324">
      <w:pPr>
        <w:snapToGrid w:val="0"/>
        <w:spacing w:line="360" w:lineRule="auto"/>
        <w:rPr>
          <w:rFonts w:ascii="Times New Roman" w:hAnsi="Times New Roman"/>
          <w:szCs w:val="22"/>
        </w:rPr>
      </w:pPr>
    </w:p>
    <w:p w14:paraId="75C682D9">
      <w:pPr>
        <w:snapToGrid w:val="0"/>
        <w:spacing w:line="360" w:lineRule="auto"/>
        <w:rPr>
          <w:rFonts w:ascii="等线" w:hAnsi="等线" w:eastAsia="FangSong_GB2312"/>
          <w:b/>
          <w:bCs/>
          <w:sz w:val="24"/>
          <w:szCs w:val="24"/>
        </w:rPr>
      </w:pPr>
    </w:p>
    <w:p w14:paraId="5B96B691">
      <w:pPr>
        <w:snapToGrid w:val="0"/>
        <w:spacing w:line="360" w:lineRule="auto"/>
        <w:rPr>
          <w:rFonts w:ascii="等线" w:hAnsi="等线" w:eastAsia="FangSong_GB2312"/>
          <w:b/>
          <w:bCs/>
          <w:sz w:val="24"/>
          <w:szCs w:val="24"/>
        </w:rPr>
      </w:pPr>
    </w:p>
    <w:p w14:paraId="3FE6BCB5">
      <w:pPr>
        <w:snapToGrid w:val="0"/>
        <w:spacing w:line="360" w:lineRule="auto"/>
        <w:rPr>
          <w:rFonts w:ascii="等线" w:hAnsi="等线" w:eastAsia="FangSong_GB2312"/>
          <w:b/>
          <w:bCs/>
          <w:sz w:val="24"/>
          <w:szCs w:val="24"/>
        </w:rPr>
      </w:pPr>
    </w:p>
    <w:p w14:paraId="11E2320A">
      <w:pPr>
        <w:snapToGrid w:val="0"/>
        <w:spacing w:line="360" w:lineRule="auto"/>
        <w:rPr>
          <w:rFonts w:ascii="等线" w:hAnsi="等线" w:eastAsia="FangSong_GB2312"/>
          <w:b/>
          <w:bCs/>
          <w:sz w:val="24"/>
          <w:szCs w:val="24"/>
        </w:rPr>
      </w:pPr>
    </w:p>
    <w:p w14:paraId="2DA66BA5">
      <w:pPr>
        <w:snapToGrid w:val="0"/>
        <w:spacing w:line="360" w:lineRule="auto"/>
        <w:rPr>
          <w:rFonts w:ascii="等线" w:hAnsi="等线" w:eastAsia="FangSong_GB2312"/>
          <w:b/>
          <w:bCs/>
          <w:sz w:val="24"/>
          <w:szCs w:val="24"/>
        </w:rPr>
      </w:pPr>
    </w:p>
    <w:p w14:paraId="647C73C1">
      <w:pPr>
        <w:snapToGrid w:val="0"/>
        <w:spacing w:line="360" w:lineRule="auto"/>
        <w:rPr>
          <w:rFonts w:ascii="等线" w:hAnsi="等线" w:eastAsia="FangSong_GB2312"/>
          <w:b/>
          <w:bCs/>
          <w:sz w:val="24"/>
          <w:szCs w:val="24"/>
        </w:rPr>
      </w:pPr>
    </w:p>
    <w:p w14:paraId="157192A6">
      <w:pPr>
        <w:snapToGrid w:val="0"/>
        <w:spacing w:line="360" w:lineRule="auto"/>
        <w:rPr>
          <w:rFonts w:ascii="等线" w:hAnsi="等线" w:eastAsia="FangSong_GB2312"/>
          <w:b/>
          <w:bCs/>
          <w:sz w:val="24"/>
          <w:szCs w:val="24"/>
        </w:rPr>
      </w:pPr>
    </w:p>
    <w:p w14:paraId="4113B47C">
      <w:pPr>
        <w:snapToGrid w:val="0"/>
        <w:spacing w:line="360" w:lineRule="auto"/>
        <w:rPr>
          <w:rFonts w:ascii="等线" w:hAnsi="等线" w:eastAsia="FangSong_GB2312"/>
          <w:b/>
          <w:bCs/>
          <w:sz w:val="24"/>
          <w:szCs w:val="24"/>
        </w:rPr>
      </w:pPr>
    </w:p>
    <w:p w14:paraId="2BFFCC25">
      <w:pPr>
        <w:snapToGrid w:val="0"/>
        <w:spacing w:line="360" w:lineRule="auto"/>
        <w:rPr>
          <w:rFonts w:ascii="等线" w:hAnsi="等线" w:eastAsia="FangSong_GB2312"/>
          <w:b/>
          <w:bCs/>
          <w:sz w:val="24"/>
          <w:szCs w:val="24"/>
        </w:rPr>
      </w:pPr>
    </w:p>
    <w:p w14:paraId="0F476BC8">
      <w:pPr>
        <w:snapToGrid w:val="0"/>
        <w:spacing w:line="360" w:lineRule="auto"/>
        <w:rPr>
          <w:rFonts w:ascii="等线" w:hAnsi="等线" w:eastAsia="FangSong_GB2312"/>
          <w:b/>
          <w:bCs/>
          <w:sz w:val="24"/>
          <w:szCs w:val="24"/>
        </w:rPr>
      </w:pPr>
    </w:p>
    <w:p w14:paraId="41FE7DF2">
      <w:pPr>
        <w:snapToGrid w:val="0"/>
        <w:spacing w:line="360" w:lineRule="auto"/>
        <w:rPr>
          <w:rFonts w:ascii="等线" w:hAnsi="等线" w:eastAsia="FangSong_GB2312"/>
          <w:b/>
          <w:bCs/>
          <w:sz w:val="24"/>
          <w:szCs w:val="24"/>
        </w:rPr>
      </w:pPr>
    </w:p>
    <w:p w14:paraId="5B327FC9">
      <w:pPr>
        <w:snapToGrid w:val="0"/>
        <w:spacing w:line="360" w:lineRule="auto"/>
        <w:rPr>
          <w:rFonts w:ascii="等线" w:hAnsi="等线" w:eastAsia="FangSong_GB2312"/>
          <w:b/>
          <w:bCs/>
          <w:sz w:val="24"/>
          <w:szCs w:val="24"/>
        </w:rPr>
      </w:pPr>
    </w:p>
    <w:p w14:paraId="3B5D17D0">
      <w:pPr>
        <w:snapToGrid w:val="0"/>
        <w:spacing w:line="360" w:lineRule="auto"/>
        <w:rPr>
          <w:rFonts w:ascii="等线" w:hAnsi="等线" w:eastAsia="FangSong_GB2312"/>
          <w:b/>
          <w:bCs/>
          <w:sz w:val="24"/>
          <w:szCs w:val="24"/>
        </w:rPr>
      </w:pPr>
    </w:p>
    <w:p w14:paraId="7D675F93">
      <w:pPr>
        <w:snapToGrid w:val="0"/>
        <w:spacing w:line="360" w:lineRule="auto"/>
        <w:rPr>
          <w:rFonts w:ascii="等线" w:hAnsi="等线" w:eastAsia="FangSong_GB2312"/>
          <w:b/>
          <w:bCs/>
          <w:sz w:val="24"/>
          <w:szCs w:val="24"/>
        </w:rPr>
      </w:pPr>
    </w:p>
    <w:p w14:paraId="01CA8284">
      <w:pPr>
        <w:snapToGrid w:val="0"/>
        <w:spacing w:line="360" w:lineRule="auto"/>
        <w:rPr>
          <w:rFonts w:ascii="等线" w:hAnsi="等线" w:eastAsia="FangSong_GB2312"/>
          <w:b/>
          <w:bCs/>
          <w:sz w:val="24"/>
          <w:szCs w:val="24"/>
        </w:rPr>
      </w:pPr>
    </w:p>
    <w:p w14:paraId="50FDBC06">
      <w:pPr>
        <w:adjustRightInd/>
        <w:spacing w:line="240" w:lineRule="auto"/>
        <w:jc w:val="center"/>
        <w:rPr>
          <w:rFonts w:ascii="等线" w:hAnsi="等线" w:eastAsia="等线"/>
          <w:sz w:val="32"/>
          <w:szCs w:val="32"/>
        </w:rPr>
      </w:pPr>
    </w:p>
    <w:p w14:paraId="2740B3A0">
      <w:pPr>
        <w:keepNext/>
        <w:widowControl/>
        <w:shd w:val="clear" w:color="FFFFFF" w:fill="FFFFFF"/>
        <w:tabs>
          <w:tab w:val="left" w:pos="0"/>
          <w:tab w:val="left" w:pos="360"/>
          <w:tab w:val="left" w:pos="6405"/>
        </w:tabs>
        <w:adjustRightInd/>
        <w:spacing w:before="640" w:after="280" w:line="240" w:lineRule="auto"/>
        <w:jc w:val="center"/>
        <w:outlineLvl w:val="0"/>
        <w:rPr>
          <w:rFonts w:hint="eastAsia" w:ascii="Times New Roman" w:hAnsi="Times New Roman" w:eastAsia="黑体"/>
          <w:kern w:val="0"/>
          <w:szCs w:val="20"/>
          <w:lang w:eastAsia="zh-CN"/>
        </w:rPr>
      </w:pPr>
      <w:r>
        <w:rPr>
          <w:rFonts w:hint="eastAsia" w:ascii="Times New Roman" w:hAnsi="Times New Roman" w:eastAsia="黑体"/>
          <w:kern w:val="0"/>
          <w:szCs w:val="20"/>
        </w:rPr>
        <w:t>附录</w:t>
      </w:r>
      <w:r>
        <w:rPr>
          <w:rFonts w:hint="eastAsia" w:ascii="Times New Roman" w:hAnsi="Times New Roman" w:eastAsia="黑体"/>
          <w:kern w:val="0"/>
          <w:szCs w:val="20"/>
          <w:lang w:val="en-US" w:eastAsia="zh-CN"/>
        </w:rPr>
        <w:t>C</w:t>
      </w:r>
    </w:p>
    <w:p w14:paraId="010F4466">
      <w:pPr>
        <w:pStyle w:val="15"/>
        <w:ind w:left="420" w:firstLine="3780" w:firstLineChars="1800"/>
        <w:rPr>
          <w:rFonts w:ascii="Times New Roman" w:hAnsi="Times New Roman" w:eastAsia="黑体"/>
          <w:kern w:val="0"/>
          <w:szCs w:val="20"/>
        </w:rPr>
      </w:pPr>
      <w:r>
        <w:rPr>
          <w:rFonts w:hint="eastAsia" w:ascii="Times New Roman" w:hAnsi="Times New Roman" w:eastAsia="黑体"/>
          <w:kern w:val="0"/>
          <w:szCs w:val="20"/>
        </w:rPr>
        <w:t>（资料性）</w:t>
      </w:r>
    </w:p>
    <w:p w14:paraId="41BFA943">
      <w:pPr>
        <w:snapToGrid w:val="0"/>
        <w:spacing w:line="360" w:lineRule="auto"/>
        <w:jc w:val="center"/>
        <w:rPr>
          <w:rFonts w:ascii="Times New Roman" w:hAnsi="Times New Roman" w:eastAsia="黑体"/>
          <w:kern w:val="0"/>
          <w:szCs w:val="20"/>
        </w:rPr>
      </w:pPr>
      <w:r>
        <w:rPr>
          <w:rFonts w:hint="eastAsia" w:ascii="Times New Roman" w:hAnsi="Times New Roman" w:eastAsia="黑体"/>
          <w:kern w:val="0"/>
          <w:szCs w:val="20"/>
        </w:rPr>
        <w:t>细菌耐药性检测</w:t>
      </w:r>
      <w:r>
        <w:rPr>
          <w:rFonts w:ascii="Times New Roman" w:hAnsi="Times New Roman" w:eastAsia="黑体"/>
          <w:kern w:val="0"/>
          <w:szCs w:val="20"/>
        </w:rPr>
        <w:t>方法</w:t>
      </w:r>
    </w:p>
    <w:p w14:paraId="3518EB20">
      <w:pPr>
        <w:keepNext w:val="0"/>
        <w:keepLines w:val="0"/>
        <w:pageBreakBefore w:val="0"/>
        <w:widowControl w:val="0"/>
        <w:numPr>
          <w:ilvl w:val="0"/>
          <w:numId w:val="35"/>
        </w:numPr>
        <w:kinsoku/>
        <w:wordWrap/>
        <w:overflowPunct/>
        <w:topLinePunct w:val="0"/>
        <w:autoSpaceDE/>
        <w:autoSpaceDN/>
        <w:bidi w:val="0"/>
        <w:adjustRightInd w:val="0"/>
        <w:snapToGrid w:val="0"/>
        <w:spacing w:before="157" w:beforeLines="50" w:after="157" w:afterLines="50" w:line="276" w:lineRule="auto"/>
        <w:ind w:firstLine="425"/>
        <w:textAlignment w:val="auto"/>
        <w:rPr>
          <w:rFonts w:hint="eastAsia" w:ascii="黑体" w:hAnsi="黑体" w:eastAsia="黑体" w:cs="黑体"/>
          <w:shd w:val="clear" w:color="auto" w:fill="FFFFFF"/>
        </w:rPr>
      </w:pPr>
      <w:r>
        <w:rPr>
          <w:rFonts w:hint="eastAsia" w:ascii="黑体" w:hAnsi="黑体" w:eastAsia="黑体" w:cs="黑体"/>
          <w:shd w:val="clear" w:color="auto" w:fill="FFFFFF"/>
        </w:rPr>
        <w:t>细菌分离鉴定</w:t>
      </w:r>
    </w:p>
    <w:p w14:paraId="1DCC7DA1">
      <w:pPr>
        <w:keepNext w:val="0"/>
        <w:keepLines w:val="0"/>
        <w:pageBreakBefore w:val="0"/>
        <w:widowControl w:val="0"/>
        <w:kinsoku/>
        <w:wordWrap/>
        <w:overflowPunct/>
        <w:topLinePunct w:val="0"/>
        <w:autoSpaceDE/>
        <w:autoSpaceDN/>
        <w:bidi w:val="0"/>
        <w:adjustRightInd w:val="0"/>
        <w:snapToGrid w:val="0"/>
        <w:spacing w:line="276" w:lineRule="auto"/>
        <w:ind w:firstLine="426"/>
        <w:textAlignment w:val="auto"/>
        <w:rPr>
          <w:rFonts w:hint="default" w:ascii="Times New Roman" w:hAnsi="Times New Roman" w:cs="Times New Roman"/>
          <w:shd w:val="clear" w:color="auto" w:fill="FFFFFF"/>
        </w:rPr>
      </w:pPr>
      <w:r>
        <w:rPr>
          <w:rFonts w:hint="default" w:ascii="Times New Roman" w:hAnsi="Times New Roman" w:cs="Times New Roman"/>
          <w:shd w:val="clear" w:color="auto" w:fill="FFFFFF"/>
        </w:rPr>
        <w:t>根据不同细菌分别选择适宜的培养基、培养条件和鉴定方法.对样品进行细菌分离培养</w:t>
      </w:r>
      <w:r>
        <w:rPr>
          <w:rFonts w:hint="eastAsia" w:ascii="Times New Roman" w:hAnsi="Times New Roman" w:cs="Times New Roman"/>
          <w:shd w:val="clear" w:color="auto" w:fill="FFFFFF"/>
          <w:lang w:eastAsia="zh-CN"/>
        </w:rPr>
        <w:t>，</w:t>
      </w:r>
      <w:r>
        <w:rPr>
          <w:rFonts w:hint="default" w:ascii="Times New Roman" w:hAnsi="Times New Roman" w:cs="Times New Roman"/>
          <w:shd w:val="clear" w:color="auto" w:fill="FFFFFF"/>
        </w:rPr>
        <w:t>采用生理生化反应和分子生物学等方法对分离菌株进行菌种鉴定。</w:t>
      </w:r>
    </w:p>
    <w:p w14:paraId="3842D48A">
      <w:pPr>
        <w:keepNext w:val="0"/>
        <w:keepLines w:val="0"/>
        <w:pageBreakBefore w:val="0"/>
        <w:widowControl w:val="0"/>
        <w:numPr>
          <w:ilvl w:val="0"/>
          <w:numId w:val="35"/>
        </w:numPr>
        <w:kinsoku/>
        <w:wordWrap/>
        <w:overflowPunct/>
        <w:topLinePunct w:val="0"/>
        <w:autoSpaceDE/>
        <w:autoSpaceDN/>
        <w:bidi w:val="0"/>
        <w:adjustRightInd w:val="0"/>
        <w:snapToGrid w:val="0"/>
        <w:spacing w:before="157" w:beforeLines="50" w:after="157" w:afterLines="50" w:line="276" w:lineRule="auto"/>
        <w:ind w:firstLine="425"/>
        <w:textAlignment w:val="auto"/>
        <w:rPr>
          <w:rFonts w:hint="default" w:ascii="黑体" w:hAnsi="黑体" w:eastAsia="黑体" w:cs="黑体"/>
          <w:shd w:val="clear" w:color="auto" w:fill="FFFFFF"/>
        </w:rPr>
      </w:pPr>
      <w:r>
        <w:rPr>
          <w:rFonts w:hint="default" w:ascii="黑体" w:hAnsi="黑体" w:eastAsia="黑体" w:cs="黑体"/>
          <w:shd w:val="clear" w:color="auto" w:fill="FFFFFF"/>
        </w:rPr>
        <w:t>药物敏感性试验</w:t>
      </w:r>
    </w:p>
    <w:p w14:paraId="144E35BC">
      <w:pPr>
        <w:pStyle w:val="2"/>
        <w:keepNext w:val="0"/>
        <w:keepLines w:val="0"/>
        <w:pageBreakBefore w:val="0"/>
        <w:widowControl w:val="0"/>
        <w:kinsoku/>
        <w:wordWrap/>
        <w:overflowPunct/>
        <w:topLinePunct w:val="0"/>
        <w:autoSpaceDE/>
        <w:autoSpaceDN/>
        <w:bidi w:val="0"/>
        <w:adjustRightInd w:val="0"/>
        <w:spacing w:after="0" w:line="276" w:lineRule="auto"/>
        <w:ind w:left="0" w:leftChars="0"/>
        <w:textAlignment w:val="auto"/>
        <w:rPr>
          <w:rFonts w:hint="default" w:ascii="Times New Roman" w:hAnsi="Times New Roman" w:cs="Times New Roman"/>
        </w:rPr>
      </w:pPr>
      <w:r>
        <w:rPr>
          <w:rFonts w:hint="default" w:ascii="Times New Roman" w:hAnsi="Times New Roman" w:cs="Times New Roman"/>
        </w:rPr>
        <w:t>采用微量肉汤稀释法对分离菌株进行药物敏感性测定。具体方法参照SC/T 7028-2022。</w:t>
      </w:r>
    </w:p>
    <w:p w14:paraId="2C5DDA7A">
      <w:pPr>
        <w:keepNext w:val="0"/>
        <w:keepLines w:val="0"/>
        <w:pageBreakBefore w:val="0"/>
        <w:widowControl w:val="0"/>
        <w:numPr>
          <w:ilvl w:val="0"/>
          <w:numId w:val="35"/>
        </w:numPr>
        <w:kinsoku/>
        <w:wordWrap/>
        <w:overflowPunct/>
        <w:topLinePunct w:val="0"/>
        <w:autoSpaceDE/>
        <w:autoSpaceDN/>
        <w:bidi w:val="0"/>
        <w:adjustRightInd w:val="0"/>
        <w:snapToGrid w:val="0"/>
        <w:spacing w:before="157" w:beforeLines="50" w:after="157" w:afterLines="50" w:line="276" w:lineRule="auto"/>
        <w:ind w:firstLine="425"/>
        <w:textAlignment w:val="auto"/>
        <w:rPr>
          <w:rFonts w:hint="default" w:ascii="黑体" w:hAnsi="黑体" w:eastAsia="黑体" w:cs="黑体"/>
          <w:shd w:val="clear" w:color="auto" w:fill="FFFFFF"/>
        </w:rPr>
      </w:pPr>
      <w:r>
        <w:rPr>
          <w:rFonts w:hint="default" w:ascii="黑体" w:hAnsi="黑体" w:eastAsia="黑体" w:cs="黑体"/>
          <w:shd w:val="clear" w:color="auto" w:fill="FFFFFF"/>
        </w:rPr>
        <w:t>结果判定</w:t>
      </w:r>
    </w:p>
    <w:p w14:paraId="4BA1BFDA">
      <w:pPr>
        <w:pStyle w:val="2"/>
        <w:keepNext w:val="0"/>
        <w:keepLines w:val="0"/>
        <w:pageBreakBefore w:val="0"/>
        <w:widowControl w:val="0"/>
        <w:kinsoku/>
        <w:wordWrap/>
        <w:overflowPunct/>
        <w:topLinePunct w:val="0"/>
        <w:autoSpaceDE/>
        <w:autoSpaceDN/>
        <w:bidi w:val="0"/>
        <w:adjustRightInd w:val="0"/>
        <w:spacing w:after="0" w:line="276" w:lineRule="auto"/>
        <w:ind w:left="0" w:leftChars="0"/>
        <w:textAlignment w:val="auto"/>
        <w:rPr>
          <w:rFonts w:hint="default" w:ascii="Times New Roman" w:hAnsi="Times New Roman" w:cs="Times New Roman"/>
        </w:rPr>
      </w:pPr>
      <w:r>
        <w:rPr>
          <w:rFonts w:hint="default" w:ascii="Times New Roman" w:hAnsi="Times New Roman" w:cs="Times New Roman"/>
        </w:rPr>
        <w:t>根据不同抗菌药物对受试菌的MIC值结果</w:t>
      </w:r>
      <w:r>
        <w:rPr>
          <w:rFonts w:hint="eastAsia" w:ascii="Times New Roman" w:hAnsi="Times New Roman" w:cs="Times New Roman"/>
          <w:lang w:eastAsia="zh-CN"/>
        </w:rPr>
        <w:t>，</w:t>
      </w:r>
      <w:r>
        <w:rPr>
          <w:rFonts w:hint="default" w:ascii="Times New Roman" w:hAnsi="Times New Roman" w:cs="Times New Roman"/>
        </w:rPr>
        <w:t>将菌株判定为敏感、中介或耐药。</w:t>
      </w:r>
    </w:p>
    <w:p w14:paraId="56A53A9C">
      <w:pPr>
        <w:kinsoku w:val="0"/>
        <w:overflowPunct w:val="0"/>
        <w:autoSpaceDE w:val="0"/>
        <w:autoSpaceDN w:val="0"/>
        <w:spacing w:before="6" w:line="240" w:lineRule="auto"/>
        <w:jc w:val="left"/>
        <w:rPr>
          <w:rFonts w:ascii="宋体" w:hAnsi="Times New Roman" w:cs="宋体"/>
          <w:kern w:val="0"/>
          <w:sz w:val="6"/>
          <w:szCs w:val="6"/>
        </w:rPr>
      </w:pPr>
    </w:p>
    <w:p w14:paraId="7DBBA76B">
      <w:pPr>
        <w:pStyle w:val="58"/>
        <w:ind w:firstLine="420"/>
        <w:rPr>
          <w:highlight w:val="red"/>
        </w:rPr>
      </w:pPr>
    </w:p>
    <w:p w14:paraId="2312A46A">
      <w:pPr>
        <w:pStyle w:val="58"/>
        <w:ind w:firstLine="420"/>
        <w:rPr>
          <w:highlight w:val="red"/>
        </w:rPr>
      </w:pPr>
    </w:p>
    <w:p w14:paraId="1D3A49C1">
      <w:pPr>
        <w:pStyle w:val="58"/>
        <w:ind w:firstLine="420"/>
        <w:rPr>
          <w:highlight w:val="red"/>
        </w:rPr>
      </w:pPr>
    </w:p>
    <w:p w14:paraId="602C4362">
      <w:pPr>
        <w:pStyle w:val="58"/>
        <w:ind w:firstLine="420"/>
      </w:pPr>
    </w:p>
    <w:p w14:paraId="1D21F160">
      <w:pPr>
        <w:pStyle w:val="58"/>
        <w:ind w:firstLine="420"/>
      </w:pPr>
    </w:p>
    <w:p w14:paraId="3A35C37F">
      <w:pPr>
        <w:pStyle w:val="58"/>
        <w:ind w:firstLine="420"/>
      </w:pPr>
    </w:p>
    <w:p w14:paraId="3B99ADE3">
      <w:pPr>
        <w:pStyle w:val="58"/>
        <w:ind w:firstLine="420"/>
      </w:pPr>
    </w:p>
    <w:p w14:paraId="11B0B3A3">
      <w:pPr>
        <w:pStyle w:val="58"/>
        <w:ind w:firstLine="420"/>
      </w:pPr>
    </w:p>
    <w:p w14:paraId="42E82358">
      <w:pPr>
        <w:pStyle w:val="58"/>
        <w:ind w:firstLine="420"/>
      </w:pPr>
    </w:p>
    <w:p w14:paraId="5EA0CA79">
      <w:pPr>
        <w:pStyle w:val="58"/>
        <w:ind w:firstLine="420"/>
      </w:pPr>
    </w:p>
    <w:p w14:paraId="59846630">
      <w:pPr>
        <w:pStyle w:val="58"/>
        <w:ind w:firstLine="420"/>
      </w:pPr>
    </w:p>
    <w:p w14:paraId="47511E4C">
      <w:pPr>
        <w:pStyle w:val="58"/>
        <w:ind w:firstLine="420"/>
      </w:pPr>
    </w:p>
    <w:p w14:paraId="0E0421CE">
      <w:pPr>
        <w:pStyle w:val="58"/>
        <w:ind w:firstLine="420"/>
      </w:pPr>
    </w:p>
    <w:p w14:paraId="4F91874B">
      <w:pPr>
        <w:pStyle w:val="58"/>
        <w:ind w:firstLine="420"/>
      </w:pPr>
    </w:p>
    <w:p w14:paraId="1D002F93">
      <w:pPr>
        <w:pStyle w:val="58"/>
        <w:ind w:firstLine="420"/>
      </w:pPr>
    </w:p>
    <w:p w14:paraId="7D439FAD">
      <w:pPr>
        <w:pStyle w:val="58"/>
        <w:ind w:firstLine="420"/>
      </w:pPr>
    </w:p>
    <w:p w14:paraId="5D85B422">
      <w:pPr>
        <w:pStyle w:val="58"/>
        <w:ind w:firstLine="420"/>
      </w:pPr>
    </w:p>
    <w:p w14:paraId="06AFAEC4">
      <w:pPr>
        <w:pStyle w:val="58"/>
        <w:ind w:firstLine="420"/>
      </w:pPr>
    </w:p>
    <w:p w14:paraId="29480E90">
      <w:pPr>
        <w:pStyle w:val="58"/>
        <w:ind w:firstLine="420"/>
      </w:pPr>
    </w:p>
    <w:p w14:paraId="2AD0CAD9">
      <w:pPr>
        <w:pStyle w:val="58"/>
        <w:ind w:firstLine="420"/>
      </w:pPr>
    </w:p>
    <w:p w14:paraId="2688F85F">
      <w:pPr>
        <w:pStyle w:val="58"/>
        <w:ind w:firstLine="420"/>
      </w:pPr>
    </w:p>
    <w:p w14:paraId="7CAB171D">
      <w:pPr>
        <w:pStyle w:val="58"/>
        <w:ind w:firstLine="420"/>
      </w:pPr>
    </w:p>
    <w:p w14:paraId="06CA5047">
      <w:pPr>
        <w:pStyle w:val="58"/>
        <w:ind w:firstLine="420"/>
      </w:pPr>
    </w:p>
    <w:p w14:paraId="551CD1B3">
      <w:pPr>
        <w:pStyle w:val="58"/>
        <w:ind w:firstLine="420"/>
      </w:pPr>
    </w:p>
    <w:p w14:paraId="6B808D70">
      <w:pPr>
        <w:pStyle w:val="58"/>
        <w:ind w:firstLine="420"/>
      </w:pPr>
    </w:p>
    <w:p w14:paraId="7F986D24">
      <w:pPr>
        <w:pStyle w:val="58"/>
        <w:ind w:firstLine="420"/>
      </w:pPr>
    </w:p>
    <w:p w14:paraId="1BDF3C69">
      <w:pPr>
        <w:pStyle w:val="58"/>
        <w:ind w:left="0" w:leftChars="0" w:firstLine="0" w:firstLineChars="0"/>
      </w:pPr>
    </w:p>
    <w:p w14:paraId="663F06A7">
      <w:pPr>
        <w:pStyle w:val="58"/>
        <w:ind w:firstLine="420"/>
      </w:pPr>
    </w:p>
    <w:p w14:paraId="61EB23C4">
      <w:pPr>
        <w:pStyle w:val="58"/>
        <w:ind w:firstLine="420"/>
      </w:pPr>
    </w:p>
    <w:p w14:paraId="10392689">
      <w:pPr>
        <w:pStyle w:val="58"/>
        <w:ind w:firstLine="420"/>
      </w:pPr>
    </w:p>
    <w:p w14:paraId="2DEF57C1">
      <w:pPr>
        <w:pStyle w:val="58"/>
        <w:ind w:firstLine="420"/>
      </w:pPr>
    </w:p>
    <w:p w14:paraId="083FD0B3">
      <w:pPr>
        <w:pStyle w:val="58"/>
        <w:ind w:firstLine="420"/>
      </w:pPr>
    </w:p>
    <w:p w14:paraId="77C5296D">
      <w:pPr>
        <w:pStyle w:val="58"/>
        <w:ind w:firstLine="420"/>
      </w:pPr>
    </w:p>
    <w:p w14:paraId="57952E7E">
      <w:pPr>
        <w:keepNext/>
        <w:widowControl/>
        <w:shd w:val="clear" w:color="FFFFFF" w:fill="FFFFFF"/>
        <w:tabs>
          <w:tab w:val="left" w:pos="0"/>
          <w:tab w:val="left" w:pos="360"/>
          <w:tab w:val="left" w:pos="6405"/>
        </w:tabs>
        <w:adjustRightInd/>
        <w:spacing w:before="640" w:after="280" w:line="240" w:lineRule="auto"/>
        <w:jc w:val="center"/>
        <w:outlineLvl w:val="0"/>
        <w:rPr>
          <w:rFonts w:hint="eastAsia" w:ascii="Times New Roman" w:hAnsi="Times New Roman" w:eastAsia="黑体"/>
          <w:kern w:val="0"/>
          <w:szCs w:val="20"/>
          <w:lang w:val="en-US" w:eastAsia="zh-CN"/>
        </w:rPr>
      </w:pPr>
      <w:r>
        <w:rPr>
          <w:rFonts w:hint="eastAsia" w:ascii="Times New Roman" w:hAnsi="Times New Roman" w:eastAsia="黑体"/>
          <w:kern w:val="0"/>
          <w:szCs w:val="20"/>
        </w:rPr>
        <w:t>附录</w:t>
      </w:r>
      <w:r>
        <w:rPr>
          <w:rFonts w:hint="eastAsia" w:ascii="Times New Roman" w:hAnsi="Times New Roman" w:eastAsia="黑体"/>
          <w:kern w:val="0"/>
          <w:szCs w:val="20"/>
          <w:lang w:val="en-US" w:eastAsia="zh-CN"/>
        </w:rPr>
        <w:t>D</w:t>
      </w:r>
    </w:p>
    <w:p w14:paraId="61618836">
      <w:pPr>
        <w:pStyle w:val="2"/>
        <w:ind w:left="0" w:leftChars="0" w:firstLine="0" w:firstLineChars="0"/>
        <w:jc w:val="center"/>
        <w:rPr>
          <w:rFonts w:hint="eastAsia" w:ascii="Times New Roman" w:hAnsi="Times New Roman" w:eastAsia="黑体"/>
          <w:kern w:val="0"/>
          <w:szCs w:val="20"/>
          <w:lang w:val="en-US" w:eastAsia="zh-CN"/>
        </w:rPr>
      </w:pPr>
      <w:r>
        <w:rPr>
          <w:rFonts w:hint="eastAsia" w:ascii="Times New Roman" w:hAnsi="Times New Roman" w:eastAsia="黑体"/>
          <w:kern w:val="0"/>
          <w:szCs w:val="20"/>
          <w:lang w:val="en-US" w:eastAsia="zh-CN"/>
        </w:rPr>
        <w:t>（资料性）</w:t>
      </w:r>
    </w:p>
    <w:p w14:paraId="168139EC">
      <w:pPr>
        <w:pStyle w:val="2"/>
        <w:ind w:left="0" w:leftChars="0" w:firstLine="0" w:firstLineChars="0"/>
        <w:jc w:val="both"/>
        <w:rPr>
          <w:rFonts w:hint="default" w:ascii="Times New Roman" w:hAnsi="Times New Roman" w:eastAsia="黑体"/>
          <w:kern w:val="0"/>
          <w:szCs w:val="20"/>
          <w:lang w:val="en-US" w:eastAsia="zh-CN"/>
        </w:rPr>
      </w:pPr>
      <w:r>
        <w:rPr>
          <w:rFonts w:hint="eastAsia" w:ascii="Times New Roman" w:hAnsi="Times New Roman" w:eastAsia="黑体"/>
          <w:kern w:val="0"/>
          <w:szCs w:val="20"/>
          <w:lang w:val="en-US" w:eastAsia="zh-CN"/>
        </w:rPr>
        <w:t>一、藻类生长影响试验</w:t>
      </w:r>
    </w:p>
    <w:p w14:paraId="1F8DB245">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1</w:t>
      </w:r>
      <w:r>
        <w:rPr>
          <w:rFonts w:hint="eastAsia" w:ascii="黑体" w:hAnsi="黑体" w:eastAsia="黑体" w:cs="黑体"/>
          <w:kern w:val="2"/>
          <w:sz w:val="21"/>
          <w:lang w:val="en-US" w:eastAsia="zh-CN"/>
        </w:rPr>
        <w:t>.</w:t>
      </w:r>
      <w:r>
        <w:rPr>
          <w:rFonts w:hint="eastAsia" w:ascii="黑体" w:hAnsi="黑体" w:eastAsia="黑体" w:cs="黑体"/>
          <w:kern w:val="2"/>
          <w:sz w:val="21"/>
        </w:rPr>
        <w:t xml:space="preserve"> 试验概述</w:t>
      </w:r>
    </w:p>
    <w:p w14:paraId="0EF4A6AE">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在一定试验条件下，以一定的供试物浓度或剂量测试对受试藻类生长的影响。当供试物最大危害暴露量处理组中较对照组藻类生长影响达到50％及以上时，则还需进行供试物对藻类剂量效应试验，以测定EC</w:t>
      </w:r>
      <w:r>
        <w:rPr>
          <w:rFonts w:hint="default" w:ascii="Times New Roman" w:hAnsi="Times New Roman" w:cs="Times New Roman"/>
          <w:kern w:val="2"/>
          <w:sz w:val="21"/>
          <w:vertAlign w:val="subscript"/>
        </w:rPr>
        <w:t>50</w:t>
      </w:r>
      <w:r>
        <w:rPr>
          <w:rFonts w:hint="default" w:ascii="Times New Roman" w:hAnsi="Times New Roman" w:cs="Times New Roman"/>
          <w:kern w:val="2"/>
          <w:sz w:val="21"/>
        </w:rPr>
        <w:t>值。</w:t>
      </w:r>
    </w:p>
    <w:p w14:paraId="5AAB180F">
      <w:pPr>
        <w:pStyle w:val="58"/>
        <w:keepNext w:val="0"/>
        <w:keepLines w:val="0"/>
        <w:pageBreakBefore w:val="0"/>
        <w:widowControl/>
        <w:numPr>
          <w:ilvl w:val="0"/>
          <w:numId w:val="36"/>
        </w:numPr>
        <w:kinsoku/>
        <w:wordWrap/>
        <w:overflowPunct/>
        <w:topLinePunct w:val="0"/>
        <w:autoSpaceDE w:val="0"/>
        <w:autoSpaceDN w:val="0"/>
        <w:bidi w:val="0"/>
        <w:adjustRightInd/>
        <w:snapToGrid/>
        <w:spacing w:line="276" w:lineRule="auto"/>
        <w:ind w:left="0" w:leftChars="0" w:firstLine="0" w:firstLineChars="0"/>
        <w:textAlignment w:val="auto"/>
        <w:rPr>
          <w:rFonts w:hint="default" w:ascii="黑体" w:hAnsi="黑体" w:eastAsia="黑体" w:cs="黑体"/>
          <w:kern w:val="2"/>
          <w:sz w:val="21"/>
        </w:rPr>
      </w:pPr>
      <w:r>
        <w:rPr>
          <w:rFonts w:hint="default" w:ascii="黑体" w:hAnsi="黑体" w:eastAsia="黑体" w:cs="黑体"/>
          <w:kern w:val="2"/>
          <w:sz w:val="21"/>
        </w:rPr>
        <w:t>试验方法</w:t>
      </w:r>
    </w:p>
    <w:p w14:paraId="161E5825">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default" w:ascii="黑体" w:hAnsi="黑体" w:eastAsia="黑体" w:cs="黑体"/>
          <w:kern w:val="2"/>
          <w:sz w:val="21"/>
        </w:rPr>
      </w:pPr>
      <w:r>
        <w:rPr>
          <w:rFonts w:hint="default" w:ascii="黑体" w:hAnsi="黑体" w:eastAsia="黑体" w:cs="黑体"/>
          <w:kern w:val="2"/>
          <w:sz w:val="21"/>
        </w:rPr>
        <w:t>2.1</w:t>
      </w:r>
      <w:r>
        <w:rPr>
          <w:rFonts w:hint="eastAsia" w:ascii="黑体" w:hAnsi="黑体" w:eastAsia="黑体" w:cs="黑体"/>
          <w:kern w:val="2"/>
          <w:sz w:val="21"/>
          <w:lang w:val="en-US" w:eastAsia="zh-CN"/>
        </w:rPr>
        <w:t xml:space="preserve"> </w:t>
      </w:r>
      <w:r>
        <w:rPr>
          <w:rFonts w:hint="default" w:ascii="黑体" w:hAnsi="黑体" w:eastAsia="黑体" w:cs="黑体"/>
          <w:kern w:val="2"/>
          <w:sz w:val="21"/>
        </w:rPr>
        <w:t>试验生物</w:t>
      </w:r>
    </w:p>
    <w:p w14:paraId="159AAAE7">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受试藻可来自绿藻门、裸藻门、轮藻门和蓝藻门等，推荐普通小球藻</w:t>
      </w:r>
      <w:r>
        <w:rPr>
          <w:rFonts w:hint="eastAsia" w:ascii="Times New Roman" w:cs="Times New Roman"/>
          <w:kern w:val="2"/>
          <w:sz w:val="21"/>
          <w:lang w:eastAsia="zh-CN"/>
        </w:rPr>
        <w:t>（</w:t>
      </w:r>
      <w:r>
        <w:rPr>
          <w:rFonts w:hint="default" w:ascii="Times New Roman" w:hAnsi="Times New Roman" w:cs="Times New Roman"/>
          <w:i/>
          <w:iCs/>
          <w:kern w:val="2"/>
          <w:sz w:val="21"/>
        </w:rPr>
        <w:t>Ch</w:t>
      </w:r>
      <w:r>
        <w:rPr>
          <w:rFonts w:hint="eastAsia" w:ascii="Times New Roman" w:cs="Times New Roman"/>
          <w:i/>
          <w:iCs/>
          <w:kern w:val="2"/>
          <w:sz w:val="21"/>
          <w:lang w:val="en-US" w:eastAsia="zh-CN"/>
        </w:rPr>
        <w:t>l</w:t>
      </w:r>
      <w:r>
        <w:rPr>
          <w:rFonts w:hint="default" w:ascii="Times New Roman" w:hAnsi="Times New Roman" w:cs="Times New Roman"/>
          <w:i/>
          <w:iCs/>
          <w:kern w:val="2"/>
          <w:sz w:val="21"/>
        </w:rPr>
        <w:t>ore</w:t>
      </w:r>
      <w:r>
        <w:rPr>
          <w:rFonts w:hint="eastAsia" w:ascii="Times New Roman" w:cs="Times New Roman"/>
          <w:i/>
          <w:iCs/>
          <w:kern w:val="2"/>
          <w:sz w:val="21"/>
          <w:lang w:val="en-US" w:eastAsia="zh-CN"/>
        </w:rPr>
        <w:t>ll</w:t>
      </w:r>
      <w:r>
        <w:rPr>
          <w:rFonts w:hint="default" w:ascii="Times New Roman" w:hAnsi="Times New Roman" w:cs="Times New Roman"/>
          <w:i/>
          <w:iCs/>
          <w:kern w:val="2"/>
          <w:sz w:val="21"/>
        </w:rPr>
        <w:t>a vu</w:t>
      </w:r>
      <w:r>
        <w:rPr>
          <w:rFonts w:hint="eastAsia" w:ascii="Times New Roman" w:cs="Times New Roman"/>
          <w:i/>
          <w:iCs/>
          <w:kern w:val="2"/>
          <w:sz w:val="21"/>
          <w:lang w:val="en-US" w:eastAsia="zh-CN"/>
        </w:rPr>
        <w:t>l</w:t>
      </w:r>
      <w:r>
        <w:rPr>
          <w:rFonts w:hint="default" w:ascii="Times New Roman" w:hAnsi="Times New Roman" w:cs="Times New Roman"/>
          <w:i/>
          <w:iCs/>
          <w:kern w:val="2"/>
          <w:sz w:val="21"/>
        </w:rPr>
        <w:t>garis</w:t>
      </w:r>
      <w:r>
        <w:rPr>
          <w:rFonts w:hint="eastAsia" w:ascii="Times New Roman" w:cs="Times New Roman"/>
          <w:kern w:val="2"/>
          <w:sz w:val="21"/>
          <w:lang w:eastAsia="zh-CN"/>
        </w:rPr>
        <w:t>）</w:t>
      </w:r>
      <w:r>
        <w:rPr>
          <w:rFonts w:hint="default" w:ascii="Times New Roman" w:hAnsi="Times New Roman" w:cs="Times New Roman"/>
          <w:kern w:val="2"/>
          <w:sz w:val="21"/>
        </w:rPr>
        <w:t>。</w:t>
      </w:r>
    </w:p>
    <w:p w14:paraId="300574CA">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bookmarkStart w:id="50" w:name="_Hlk178429583"/>
      <w:r>
        <w:rPr>
          <w:rFonts w:hint="eastAsia" w:ascii="黑体" w:hAnsi="黑体" w:eastAsia="黑体" w:cs="黑体"/>
          <w:kern w:val="2"/>
          <w:sz w:val="21"/>
        </w:rPr>
        <w:t>2.2</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供试物</w:t>
      </w:r>
    </w:p>
    <w:p w14:paraId="634C6050">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420" w:firstLineChars="200"/>
        <w:textAlignment w:val="auto"/>
        <w:rPr>
          <w:rFonts w:hint="default" w:ascii="Times New Roman" w:hAnsi="Times New Roman" w:cs="Times New Roman"/>
          <w:kern w:val="2"/>
          <w:sz w:val="21"/>
        </w:rPr>
      </w:pPr>
      <w:r>
        <w:rPr>
          <w:rFonts w:hint="default" w:ascii="Times New Roman" w:hAnsi="Times New Roman" w:cs="Times New Roman"/>
          <w:kern w:val="2"/>
          <w:sz w:val="21"/>
        </w:rPr>
        <w:t>通常情况下，试验中供试物应采用同一批次的产品。但在不得不使用另一批次产品时，应在试验报告中记录供试物的批次。</w:t>
      </w:r>
    </w:p>
    <w:p w14:paraId="0417D627">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2.3</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计数方法</w:t>
      </w:r>
    </w:p>
    <w:p w14:paraId="415D1F90">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420" w:firstLineChars="200"/>
        <w:textAlignment w:val="auto"/>
        <w:rPr>
          <w:rFonts w:hint="default" w:ascii="Times New Roman" w:hAnsi="Times New Roman" w:cs="Times New Roman"/>
          <w:kern w:val="2"/>
          <w:sz w:val="21"/>
        </w:rPr>
      </w:pPr>
      <w:r>
        <w:rPr>
          <w:rFonts w:hint="default" w:ascii="Times New Roman" w:hAnsi="Times New Roman" w:cs="Times New Roman"/>
          <w:kern w:val="2"/>
          <w:sz w:val="21"/>
        </w:rPr>
        <w:t>以个体数目为计数单位，可采用血球计数板法等测定。</w:t>
      </w:r>
    </w:p>
    <w:bookmarkEnd w:id="50"/>
    <w:p w14:paraId="2DE08602">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2.4</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培养基</w:t>
      </w:r>
    </w:p>
    <w:p w14:paraId="1B24E4BA">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普通小球藻宜用SE或BG11培养基。</w:t>
      </w:r>
    </w:p>
    <w:p w14:paraId="55E61733">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2.5</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试验条件</w:t>
      </w:r>
    </w:p>
    <w:p w14:paraId="1E3BB193">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藻类适宜的试验环境温度21</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℃~24</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℃（单次试验温度控制在</w:t>
      </w:r>
      <w:r>
        <w:rPr>
          <w:rFonts w:hint="eastAsia" w:ascii="宋体" w:hAnsi="宋体" w:eastAsia="宋体" w:cs="宋体"/>
        </w:rPr>
        <w:t>±</w:t>
      </w:r>
      <w:r>
        <w:rPr>
          <w:rFonts w:hint="eastAsia" w:hAnsi="宋体" w:cs="宋体"/>
          <w:lang w:val="en-US" w:eastAsia="zh-CN"/>
        </w:rPr>
        <w:t xml:space="preserve"> </w:t>
      </w:r>
      <w:r>
        <w:rPr>
          <w:rFonts w:hint="default" w:ascii="Times New Roman" w:hAnsi="Times New Roman" w:cs="Times New Roman"/>
          <w:kern w:val="2"/>
          <w:sz w:val="21"/>
        </w:rPr>
        <w:t>2</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℃），连续均匀光照，光照强度差异应保持在</w:t>
      </w:r>
      <w:r>
        <w:rPr>
          <w:rFonts w:hint="eastAsia" w:ascii="宋体" w:hAnsi="宋体" w:eastAsia="宋体" w:cs="宋体"/>
        </w:rPr>
        <w:t>±</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15%范围内，光强4440</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lx～8880</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lx。试验条件在满足藻类生长条件下，应充分考虑供试物的生长和活性要求。</w:t>
      </w:r>
    </w:p>
    <w:p w14:paraId="17A16E76">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2.6</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试验操作</w:t>
      </w:r>
    </w:p>
    <w:p w14:paraId="6AEAC788">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试验设置处理组，空白对照组和灭活对照组等，每组设置3个平行，各处理组和对照组应避免交叉污染。</w:t>
      </w:r>
    </w:p>
    <w:p w14:paraId="704D06FE">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2.7</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结果观察</w:t>
      </w:r>
    </w:p>
    <w:p w14:paraId="12A272C2">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试验期间每日对藻类生长情况进行观察和记录，在显微镜下用血球计数板准确计数藻类细胞数，同一样品至少计数2次。对数据进行数理统计，比较处理组与对照组藻类生长差异。试验观察时间持续96</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h。</w:t>
      </w:r>
    </w:p>
    <w:p w14:paraId="1EC1788D">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default" w:ascii="Times New Roman" w:hAnsi="Times New Roman" w:cs="Times New Roman"/>
          <w:kern w:val="2"/>
          <w:sz w:val="21"/>
        </w:rPr>
      </w:pPr>
    </w:p>
    <w:p w14:paraId="73B4EFAD">
      <w:pPr>
        <w:pStyle w:val="2"/>
        <w:ind w:left="0" w:leftChars="0" w:firstLine="0" w:firstLineChars="0"/>
        <w:jc w:val="both"/>
        <w:rPr>
          <w:rFonts w:hint="default" w:ascii="Times New Roman" w:hAnsi="Times New Roman" w:eastAsia="黑体"/>
          <w:kern w:val="0"/>
          <w:szCs w:val="20"/>
          <w:lang w:val="en-US" w:eastAsia="zh-CN"/>
        </w:rPr>
      </w:pPr>
      <w:r>
        <w:rPr>
          <w:rFonts w:hint="default" w:ascii="Times New Roman" w:hAnsi="Times New Roman" w:eastAsia="黑体"/>
          <w:kern w:val="0"/>
          <w:szCs w:val="20"/>
          <w:lang w:val="en-US" w:eastAsia="zh-CN"/>
        </w:rPr>
        <w:t>二、水产养殖动物毒性试验</w:t>
      </w:r>
    </w:p>
    <w:p w14:paraId="53EA593B">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1</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试验概述</w:t>
      </w:r>
    </w:p>
    <w:p w14:paraId="0E17FB25">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在一定试验条件下，以一定的供试物浓度或剂量测试对受试草鱼、河蟹或南美白对虾的毒性和致病性等影响。当供试物最大危害暴露量出现对受试生物50％及以上的个体死亡或致病时，则还需进行剂量效应试验和致死（病）验证试验。致死毒性以LD</w:t>
      </w:r>
      <w:r>
        <w:rPr>
          <w:rFonts w:hint="default" w:ascii="Times New Roman" w:hAnsi="Times New Roman" w:cs="Times New Roman"/>
          <w:kern w:val="2"/>
          <w:sz w:val="21"/>
          <w:vertAlign w:val="subscript"/>
        </w:rPr>
        <w:t>50</w:t>
      </w:r>
      <w:r>
        <w:rPr>
          <w:rFonts w:hint="default" w:ascii="Times New Roman" w:hAnsi="Times New Roman" w:cs="Times New Roman"/>
          <w:kern w:val="2"/>
          <w:sz w:val="21"/>
        </w:rPr>
        <w:t>/</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LC</w:t>
      </w:r>
      <w:r>
        <w:rPr>
          <w:rFonts w:hint="default" w:ascii="Times New Roman" w:hAnsi="Times New Roman" w:cs="Times New Roman"/>
          <w:kern w:val="2"/>
          <w:sz w:val="21"/>
          <w:vertAlign w:val="subscript"/>
        </w:rPr>
        <w:t>50</w:t>
      </w:r>
      <w:r>
        <w:rPr>
          <w:rFonts w:hint="default" w:ascii="Times New Roman" w:hAnsi="Times New Roman" w:cs="Times New Roman"/>
          <w:kern w:val="2"/>
          <w:sz w:val="21"/>
        </w:rPr>
        <w:t>表征；致病性以ID</w:t>
      </w:r>
      <w:r>
        <w:rPr>
          <w:rFonts w:hint="default" w:ascii="Times New Roman" w:hAnsi="Times New Roman" w:cs="Times New Roman"/>
          <w:kern w:val="2"/>
          <w:sz w:val="21"/>
          <w:vertAlign w:val="subscript"/>
        </w:rPr>
        <w:t>50</w:t>
      </w:r>
      <w:r>
        <w:rPr>
          <w:rFonts w:hint="default" w:ascii="Times New Roman" w:hAnsi="Times New Roman" w:cs="Times New Roman"/>
          <w:kern w:val="2"/>
          <w:sz w:val="21"/>
        </w:rPr>
        <w:t>/ IC</w:t>
      </w:r>
      <w:r>
        <w:rPr>
          <w:rFonts w:hint="default" w:ascii="Times New Roman" w:hAnsi="Times New Roman" w:cs="Times New Roman"/>
          <w:kern w:val="2"/>
          <w:sz w:val="21"/>
          <w:vertAlign w:val="subscript"/>
        </w:rPr>
        <w:t>50</w:t>
      </w:r>
      <w:r>
        <w:rPr>
          <w:rFonts w:hint="default" w:ascii="Times New Roman" w:hAnsi="Times New Roman" w:cs="Times New Roman"/>
          <w:kern w:val="2"/>
          <w:sz w:val="21"/>
        </w:rPr>
        <w:t>表征。</w:t>
      </w:r>
    </w:p>
    <w:p w14:paraId="7DFBEA14">
      <w:pPr>
        <w:pStyle w:val="58"/>
        <w:keepNext w:val="0"/>
        <w:keepLines w:val="0"/>
        <w:pageBreakBefore w:val="0"/>
        <w:widowControl/>
        <w:numPr>
          <w:ilvl w:val="0"/>
          <w:numId w:val="0"/>
        </w:numPr>
        <w:kinsoku/>
        <w:wordWrap/>
        <w:overflowPunct/>
        <w:topLinePunct w:val="0"/>
        <w:autoSpaceDE w:val="0"/>
        <w:autoSpaceDN w:val="0"/>
        <w:bidi w:val="0"/>
        <w:adjustRightInd/>
        <w:snapToGrid/>
        <w:spacing w:line="276" w:lineRule="auto"/>
        <w:ind w:leftChars="0"/>
        <w:textAlignment w:val="auto"/>
        <w:rPr>
          <w:rFonts w:hint="eastAsia" w:ascii="黑体" w:hAnsi="黑体" w:eastAsia="黑体" w:cs="黑体"/>
          <w:kern w:val="2"/>
          <w:sz w:val="21"/>
        </w:rPr>
      </w:pPr>
      <w:r>
        <w:rPr>
          <w:rFonts w:hint="eastAsia" w:ascii="黑体" w:hAnsi="黑体" w:eastAsia="黑体" w:cs="黑体"/>
          <w:kern w:val="2"/>
          <w:sz w:val="21"/>
          <w:lang w:val="en-US" w:eastAsia="zh-CN"/>
        </w:rPr>
        <w:t xml:space="preserve">2. </w:t>
      </w:r>
      <w:r>
        <w:rPr>
          <w:rFonts w:hint="eastAsia" w:ascii="黑体" w:hAnsi="黑体" w:eastAsia="黑体" w:cs="黑体"/>
          <w:kern w:val="2"/>
          <w:sz w:val="21"/>
        </w:rPr>
        <w:t>试验方法</w:t>
      </w:r>
    </w:p>
    <w:p w14:paraId="4457FAB6">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2.1</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试验生物</w:t>
      </w:r>
    </w:p>
    <w:p w14:paraId="7AC765C9">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推荐草鱼、河蟹或南美白对虾等。受试动物要求健康无病，未性成熟的当年生个体，并采用满足其生理要求的驯养和试验条件。并根据以下原则选择受试鱼：</w:t>
      </w:r>
    </w:p>
    <w:p w14:paraId="3EEBBFD0">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420" w:firstLineChars="200"/>
        <w:textAlignment w:val="auto"/>
        <w:rPr>
          <w:rFonts w:hint="default" w:ascii="Times New Roman" w:hAnsi="Times New Roman" w:cs="Times New Roman"/>
          <w:kern w:val="2"/>
          <w:sz w:val="21"/>
        </w:rPr>
      </w:pPr>
      <w:r>
        <w:rPr>
          <w:rFonts w:hint="eastAsia" w:ascii="Times New Roman" w:cs="Times New Roman"/>
          <w:kern w:val="2"/>
          <w:sz w:val="21"/>
          <w:lang w:eastAsia="zh-CN"/>
        </w:rPr>
        <w:t>——</w:t>
      </w:r>
      <w:r>
        <w:rPr>
          <w:rFonts w:hint="default" w:ascii="Times New Roman" w:hAnsi="Times New Roman" w:cs="Times New Roman"/>
          <w:kern w:val="2"/>
          <w:sz w:val="21"/>
        </w:rPr>
        <w:t>尽可能与目标水产养殖动物分类地位相近；</w:t>
      </w:r>
    </w:p>
    <w:p w14:paraId="55BE405E">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420" w:firstLineChars="200"/>
        <w:textAlignment w:val="auto"/>
        <w:rPr>
          <w:rFonts w:hint="default" w:ascii="Times New Roman" w:hAnsi="Times New Roman" w:cs="Times New Roman"/>
          <w:kern w:val="2"/>
          <w:sz w:val="21"/>
        </w:rPr>
      </w:pPr>
      <w:r>
        <w:rPr>
          <w:rFonts w:hint="eastAsia" w:ascii="Times New Roman" w:cs="Times New Roman"/>
          <w:kern w:val="2"/>
          <w:sz w:val="21"/>
          <w:lang w:eastAsia="zh-CN"/>
        </w:rPr>
        <w:t>——</w:t>
      </w:r>
      <w:r>
        <w:rPr>
          <w:rFonts w:hint="default" w:ascii="Times New Roman" w:hAnsi="Times New Roman" w:cs="Times New Roman"/>
          <w:kern w:val="2"/>
          <w:sz w:val="21"/>
        </w:rPr>
        <w:t>生物学资料丰富的鱼种；</w:t>
      </w:r>
    </w:p>
    <w:p w14:paraId="7EB84B55">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420" w:firstLineChars="200"/>
        <w:textAlignment w:val="auto"/>
        <w:rPr>
          <w:rFonts w:hint="default" w:ascii="Times New Roman" w:hAnsi="Times New Roman" w:cs="Times New Roman"/>
          <w:kern w:val="2"/>
          <w:sz w:val="21"/>
        </w:rPr>
      </w:pPr>
      <w:r>
        <w:rPr>
          <w:rFonts w:hint="eastAsia" w:ascii="Times New Roman" w:cs="Times New Roman"/>
          <w:kern w:val="2"/>
          <w:sz w:val="21"/>
          <w:lang w:eastAsia="zh-CN"/>
        </w:rPr>
        <w:t>——</w:t>
      </w:r>
      <w:r>
        <w:rPr>
          <w:rFonts w:hint="default" w:ascii="Times New Roman" w:hAnsi="Times New Roman" w:cs="Times New Roman"/>
          <w:kern w:val="2"/>
          <w:sz w:val="21"/>
        </w:rPr>
        <w:t>选择幼年期的试验物种，避开产卵期。</w:t>
      </w:r>
    </w:p>
    <w:p w14:paraId="68246408">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受试动物应在测试环境条件下驯养7</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d～14</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d，每日光照12</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h～16</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h，每天定时喂食1次～2次，及时清除粪便及食物残渣。试验前24</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h停止喂食。</w:t>
      </w:r>
    </w:p>
    <w:p w14:paraId="7609F8E7">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2.2</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供试物</w:t>
      </w:r>
    </w:p>
    <w:p w14:paraId="0758AFCE">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通常情况下，试验中供试物应采用同一批次的产品。但在不得不使用另一批次产品时，应在试验报告中记录供试物的批次。</w:t>
      </w:r>
    </w:p>
    <w:p w14:paraId="77EF7AEB">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2.3</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试验条件</w:t>
      </w:r>
    </w:p>
    <w:p w14:paraId="708F5E63">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试验用水为去氯处理24</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h自来水</w:t>
      </w:r>
      <w:r>
        <w:rPr>
          <w:rFonts w:hint="eastAsia" w:ascii="Times New Roman" w:cs="Times New Roman"/>
          <w:kern w:val="2"/>
          <w:sz w:val="21"/>
          <w:lang w:eastAsia="zh-CN"/>
        </w:rPr>
        <w:t>（</w:t>
      </w:r>
      <w:r>
        <w:rPr>
          <w:rFonts w:hint="default" w:ascii="Times New Roman" w:hAnsi="Times New Roman" w:cs="Times New Roman"/>
          <w:kern w:val="2"/>
          <w:sz w:val="21"/>
        </w:rPr>
        <w:t>必要时经活性炭处理</w:t>
      </w:r>
      <w:r>
        <w:rPr>
          <w:rFonts w:hint="eastAsia" w:ascii="Times New Roman" w:cs="Times New Roman"/>
          <w:kern w:val="2"/>
          <w:sz w:val="21"/>
          <w:lang w:eastAsia="zh-CN"/>
        </w:rPr>
        <w:t>）</w:t>
      </w:r>
      <w:r>
        <w:rPr>
          <w:rFonts w:hint="default" w:ascii="Times New Roman" w:hAnsi="Times New Roman" w:cs="Times New Roman"/>
          <w:kern w:val="2"/>
          <w:sz w:val="21"/>
        </w:rPr>
        <w:t>或注明配方的人工稀释水，水质硬度在10</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mg/L～250</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mg/L（以CaCO</w:t>
      </w:r>
      <w:r>
        <w:rPr>
          <w:rFonts w:hint="default" w:ascii="Times New Roman" w:hAnsi="Times New Roman" w:cs="Times New Roman"/>
          <w:kern w:val="2"/>
          <w:sz w:val="21"/>
          <w:vertAlign w:val="subscript"/>
        </w:rPr>
        <w:t>3</w:t>
      </w:r>
      <w:r>
        <w:rPr>
          <w:rFonts w:hint="default" w:ascii="Times New Roman" w:hAnsi="Times New Roman" w:cs="Times New Roman"/>
          <w:kern w:val="2"/>
          <w:sz w:val="21"/>
        </w:rPr>
        <w:t>计），pH在6.0～8.5，试验期间溶解氧不低于空气饱和值的60%。试验条件在满足试验动物生长条件下，应充分考虑供试物的生长和活性要求。</w:t>
      </w:r>
    </w:p>
    <w:p w14:paraId="3F39C23F">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2.4</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试验操作</w:t>
      </w:r>
    </w:p>
    <w:p w14:paraId="27652610">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试验设置处理组，空白对照组和灭活对照组等，每组设置4个平行，每个平行10尾。各处理组和对照组应避免交叉污染。</w:t>
      </w:r>
    </w:p>
    <w:p w14:paraId="6AD4A107">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0" w:firstLineChars="0"/>
        <w:textAlignment w:val="auto"/>
        <w:rPr>
          <w:rFonts w:hint="eastAsia" w:ascii="黑体" w:hAnsi="黑体" w:eastAsia="黑体" w:cs="黑体"/>
          <w:kern w:val="2"/>
          <w:sz w:val="21"/>
        </w:rPr>
      </w:pPr>
      <w:r>
        <w:rPr>
          <w:rFonts w:hint="eastAsia" w:ascii="黑体" w:hAnsi="黑体" w:eastAsia="黑体" w:cs="黑体"/>
          <w:kern w:val="2"/>
          <w:sz w:val="21"/>
        </w:rPr>
        <w:t>2.5</w:t>
      </w:r>
      <w:r>
        <w:rPr>
          <w:rFonts w:hint="eastAsia" w:ascii="黑体" w:hAnsi="黑体" w:eastAsia="黑体" w:cs="黑体"/>
          <w:kern w:val="2"/>
          <w:sz w:val="21"/>
          <w:lang w:val="en-US" w:eastAsia="zh-CN"/>
        </w:rPr>
        <w:t xml:space="preserve"> </w:t>
      </w:r>
      <w:r>
        <w:rPr>
          <w:rFonts w:hint="eastAsia" w:ascii="黑体" w:hAnsi="黑体" w:eastAsia="黑体" w:cs="黑体"/>
          <w:kern w:val="2"/>
          <w:sz w:val="21"/>
        </w:rPr>
        <w:t>结果观察</w:t>
      </w:r>
    </w:p>
    <w:p w14:paraId="01F32CC0">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cs="Times New Roman"/>
          <w:kern w:val="2"/>
          <w:sz w:val="21"/>
        </w:rPr>
      </w:pPr>
      <w:r>
        <w:rPr>
          <w:rFonts w:hint="default" w:ascii="Times New Roman" w:hAnsi="Times New Roman" w:cs="Times New Roman"/>
          <w:kern w:val="2"/>
          <w:sz w:val="21"/>
        </w:rPr>
        <w:t>试验期间每日对受试动物的饲料食用状况、异常行为、死亡等进行观察和记录。当鱼没有任何肉眼可见的活动，如鲍呼吸、碰触尾鳍无反应，即可判断该动物已死亡。试验观察时间应持续30</w:t>
      </w:r>
      <w:r>
        <w:rPr>
          <w:rFonts w:hint="eastAsia" w:ascii="Times New Roman" w:cs="Times New Roman"/>
          <w:kern w:val="2"/>
          <w:sz w:val="21"/>
          <w:lang w:val="en-US" w:eastAsia="zh-CN"/>
        </w:rPr>
        <w:t xml:space="preserve"> </w:t>
      </w:r>
      <w:r>
        <w:rPr>
          <w:rFonts w:hint="default" w:ascii="Times New Roman" w:hAnsi="Times New Roman" w:cs="Times New Roman"/>
          <w:kern w:val="2"/>
          <w:sz w:val="21"/>
        </w:rPr>
        <w:t>d。当在试验观察时间末期，处理组受试动物开始出现死亡或明显病征，则需延长试验观察时间，直至受试动物恢复正常或确定死亡。</w:t>
      </w:r>
    </w:p>
    <w:p w14:paraId="71BB9898">
      <w:pPr>
        <w:pStyle w:val="58"/>
        <w:ind w:firstLine="420"/>
      </w:pPr>
    </w:p>
    <w:p w14:paraId="37EF26E3">
      <w:pPr>
        <w:pStyle w:val="58"/>
        <w:ind w:firstLine="420"/>
      </w:pPr>
    </w:p>
    <w:p w14:paraId="102DA881">
      <w:pPr>
        <w:pStyle w:val="58"/>
        <w:ind w:firstLine="420"/>
      </w:pPr>
    </w:p>
    <w:p w14:paraId="1A2FE44C">
      <w:pPr>
        <w:pStyle w:val="58"/>
        <w:ind w:firstLine="420"/>
      </w:pPr>
    </w:p>
    <w:p w14:paraId="75B0D22C">
      <w:pPr>
        <w:pStyle w:val="58"/>
        <w:ind w:firstLine="420"/>
      </w:pPr>
    </w:p>
    <w:p w14:paraId="29186665">
      <w:pPr>
        <w:pStyle w:val="58"/>
        <w:ind w:firstLine="420"/>
      </w:pPr>
    </w:p>
    <w:p w14:paraId="2357884A">
      <w:pPr>
        <w:pStyle w:val="58"/>
        <w:ind w:firstLine="420"/>
      </w:pPr>
    </w:p>
    <w:p w14:paraId="54B73D12">
      <w:pPr>
        <w:pStyle w:val="58"/>
        <w:ind w:firstLine="420"/>
      </w:pPr>
    </w:p>
    <w:p w14:paraId="5B98E096">
      <w:pPr>
        <w:pStyle w:val="58"/>
        <w:ind w:firstLine="420"/>
      </w:pPr>
    </w:p>
    <w:p w14:paraId="11FC894D">
      <w:pPr>
        <w:pStyle w:val="58"/>
        <w:ind w:firstLine="420"/>
      </w:pPr>
    </w:p>
    <w:p w14:paraId="753CD1AA">
      <w:pPr>
        <w:pStyle w:val="58"/>
        <w:ind w:firstLine="420"/>
      </w:pPr>
    </w:p>
    <w:p w14:paraId="10A7D3FE">
      <w:pPr>
        <w:pStyle w:val="58"/>
        <w:ind w:firstLine="420"/>
      </w:pPr>
    </w:p>
    <w:p w14:paraId="2FC9E6FC">
      <w:pPr>
        <w:pStyle w:val="58"/>
        <w:ind w:firstLine="420"/>
      </w:pPr>
    </w:p>
    <w:p w14:paraId="2B20241F">
      <w:pPr>
        <w:pStyle w:val="58"/>
        <w:ind w:firstLine="420"/>
      </w:pPr>
    </w:p>
    <w:p w14:paraId="6139C30A">
      <w:pPr>
        <w:pStyle w:val="58"/>
        <w:ind w:firstLine="420"/>
      </w:pPr>
    </w:p>
    <w:p w14:paraId="62A3228E">
      <w:pPr>
        <w:pStyle w:val="58"/>
        <w:ind w:firstLine="420"/>
      </w:pPr>
    </w:p>
    <w:p w14:paraId="284E424F">
      <w:pPr>
        <w:pStyle w:val="58"/>
        <w:ind w:firstLine="420"/>
      </w:pPr>
    </w:p>
    <w:p w14:paraId="55356283">
      <w:pPr>
        <w:pStyle w:val="58"/>
        <w:ind w:firstLine="420"/>
      </w:pPr>
    </w:p>
    <w:p w14:paraId="58568274">
      <w:pPr>
        <w:pStyle w:val="58"/>
        <w:ind w:firstLine="420"/>
      </w:pPr>
    </w:p>
    <w:p w14:paraId="02535DCA">
      <w:pPr>
        <w:pStyle w:val="58"/>
        <w:ind w:firstLine="420"/>
      </w:pPr>
    </w:p>
    <w:p w14:paraId="7EC9B33B">
      <w:pPr>
        <w:pStyle w:val="58"/>
        <w:ind w:firstLine="420"/>
      </w:pPr>
    </w:p>
    <w:p w14:paraId="3035556A">
      <w:pPr>
        <w:pStyle w:val="58"/>
        <w:ind w:firstLine="420"/>
      </w:pPr>
    </w:p>
    <w:p w14:paraId="3C622A7E">
      <w:pPr>
        <w:pStyle w:val="58"/>
        <w:ind w:firstLine="420"/>
      </w:pPr>
    </w:p>
    <w:p w14:paraId="628FCF60">
      <w:pPr>
        <w:pStyle w:val="58"/>
        <w:ind w:firstLine="420"/>
      </w:pPr>
    </w:p>
    <w:p w14:paraId="6414C701">
      <w:pPr>
        <w:pStyle w:val="58"/>
        <w:ind w:firstLine="420"/>
      </w:pPr>
    </w:p>
    <w:p w14:paraId="6545B7D6">
      <w:pPr>
        <w:pStyle w:val="58"/>
        <w:ind w:firstLine="420"/>
      </w:pPr>
    </w:p>
    <w:p w14:paraId="034C6ABF">
      <w:pPr>
        <w:pStyle w:val="58"/>
        <w:ind w:firstLine="420"/>
      </w:pPr>
    </w:p>
    <w:p w14:paraId="35087476">
      <w:pPr>
        <w:pStyle w:val="58"/>
        <w:ind w:firstLine="420"/>
      </w:pPr>
    </w:p>
    <w:p w14:paraId="18DB2B0F">
      <w:pPr>
        <w:pStyle w:val="58"/>
        <w:ind w:firstLine="420"/>
      </w:pPr>
    </w:p>
    <w:p w14:paraId="0F3E6DE1">
      <w:pPr>
        <w:pStyle w:val="58"/>
        <w:ind w:firstLine="420"/>
      </w:pPr>
    </w:p>
    <w:p w14:paraId="69A8C3CC">
      <w:pPr>
        <w:keepNext/>
        <w:widowControl/>
        <w:shd w:val="clear" w:color="FFFFFF" w:fill="FFFFFF"/>
        <w:tabs>
          <w:tab w:val="left" w:pos="0"/>
          <w:tab w:val="left" w:pos="360"/>
          <w:tab w:val="left" w:pos="6405"/>
        </w:tabs>
        <w:adjustRightInd/>
        <w:spacing w:before="640" w:after="280" w:line="240" w:lineRule="auto"/>
        <w:jc w:val="center"/>
        <w:outlineLvl w:val="0"/>
        <w:rPr>
          <w:rFonts w:hint="eastAsia" w:ascii="Times New Roman" w:hAnsi="Times New Roman" w:eastAsia="黑体"/>
          <w:kern w:val="0"/>
          <w:szCs w:val="20"/>
          <w:lang w:val="en-US" w:eastAsia="zh-CN"/>
        </w:rPr>
      </w:pPr>
      <w:r>
        <w:rPr>
          <w:rFonts w:hint="eastAsia" w:ascii="Times New Roman" w:hAnsi="Times New Roman" w:eastAsia="黑体"/>
          <w:kern w:val="0"/>
          <w:szCs w:val="20"/>
        </w:rPr>
        <w:t>附录</w:t>
      </w:r>
      <w:r>
        <w:rPr>
          <w:rFonts w:hint="eastAsia" w:ascii="Times New Roman" w:hAnsi="Times New Roman" w:eastAsia="黑体"/>
          <w:kern w:val="0"/>
          <w:szCs w:val="20"/>
          <w:lang w:val="en-US" w:eastAsia="zh-CN"/>
        </w:rPr>
        <w:t>E</w:t>
      </w:r>
    </w:p>
    <w:p w14:paraId="215B673E">
      <w:pPr>
        <w:pStyle w:val="2"/>
        <w:ind w:left="0" w:leftChars="0" w:firstLine="0" w:firstLineChars="0"/>
        <w:jc w:val="center"/>
        <w:rPr>
          <w:rFonts w:hint="eastAsia" w:ascii="Times New Roman" w:hAnsi="Times New Roman" w:eastAsia="黑体"/>
          <w:kern w:val="0"/>
          <w:szCs w:val="20"/>
          <w:lang w:val="en-US" w:eastAsia="zh-CN"/>
        </w:rPr>
      </w:pPr>
      <w:r>
        <w:rPr>
          <w:rFonts w:hint="eastAsia" w:ascii="Times New Roman" w:hAnsi="Times New Roman" w:eastAsia="黑体"/>
          <w:kern w:val="0"/>
          <w:szCs w:val="20"/>
          <w:lang w:val="en-US" w:eastAsia="zh-CN"/>
        </w:rPr>
        <w:t>（资料性）</w:t>
      </w:r>
    </w:p>
    <w:p w14:paraId="7BEA0C09">
      <w:pPr>
        <w:pStyle w:val="2"/>
        <w:keepNext w:val="0"/>
        <w:keepLines w:val="0"/>
        <w:pageBreakBefore w:val="0"/>
        <w:widowControl w:val="0"/>
        <w:kinsoku/>
        <w:wordWrap/>
        <w:overflowPunct/>
        <w:topLinePunct w:val="0"/>
        <w:autoSpaceDE/>
        <w:autoSpaceDN/>
        <w:bidi w:val="0"/>
        <w:adjustRightInd w:val="0"/>
        <w:snapToGrid/>
        <w:ind w:left="0" w:leftChars="0" w:firstLine="0" w:firstLineChars="0"/>
        <w:jc w:val="center"/>
        <w:textAlignment w:val="auto"/>
        <w:rPr>
          <w:rFonts w:hint="default" w:ascii="Times New Roman" w:hAnsi="Times New Roman" w:eastAsia="黑体"/>
          <w:kern w:val="0"/>
          <w:szCs w:val="20"/>
          <w:lang w:val="en-US" w:eastAsia="zh-CN"/>
        </w:rPr>
      </w:pPr>
      <w:r>
        <w:rPr>
          <w:rFonts w:hint="eastAsia" w:ascii="Times New Roman" w:hAnsi="Times New Roman" w:eastAsia="黑体"/>
          <w:kern w:val="0"/>
          <w:szCs w:val="20"/>
          <w:lang w:val="en-US" w:eastAsia="zh-CN"/>
        </w:rPr>
        <w:t>弧菌检测方法（副溶血弧菌）</w:t>
      </w:r>
    </w:p>
    <w:p w14:paraId="31E77D98">
      <w:pPr>
        <w:pStyle w:val="58"/>
        <w:keepNext w:val="0"/>
        <w:keepLines w:val="0"/>
        <w:pageBreakBefore w:val="0"/>
        <w:widowControl/>
        <w:numPr>
          <w:ilvl w:val="0"/>
          <w:numId w:val="37"/>
        </w:numPr>
        <w:kinsoku/>
        <w:wordWrap/>
        <w:overflowPunct/>
        <w:topLinePunct w:val="0"/>
        <w:autoSpaceDE w:val="0"/>
        <w:autoSpaceDN w:val="0"/>
        <w:bidi w:val="0"/>
        <w:adjustRightInd/>
        <w:snapToGrid/>
        <w:spacing w:before="157" w:beforeLines="50" w:after="157" w:afterLines="50" w:line="276" w:lineRule="auto"/>
        <w:ind w:firstLine="0" w:firstLineChars="0"/>
        <w:textAlignment w:val="auto"/>
        <w:rPr>
          <w:rFonts w:hint="eastAsia" w:ascii="黑体" w:hAnsi="黑体" w:eastAsia="黑体" w:cs="黑体"/>
        </w:rPr>
      </w:pPr>
      <w:r>
        <w:rPr>
          <w:rFonts w:hint="eastAsia" w:ascii="黑体" w:hAnsi="黑体" w:eastAsia="黑体" w:cs="黑体"/>
        </w:rPr>
        <w:t>检样制备和初始悬液</w:t>
      </w:r>
    </w:p>
    <w:p w14:paraId="18CA08B6">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eastAsia="宋体" w:cs="Times New Roman"/>
        </w:rPr>
      </w:pPr>
      <w:r>
        <w:rPr>
          <w:rFonts w:hint="default" w:ascii="Times New Roman" w:hAnsi="Times New Roman" w:eastAsia="宋体" w:cs="Times New Roman"/>
        </w:rPr>
        <w:t>以无菌操作称取试样25</w:t>
      </w:r>
      <w:r>
        <w:rPr>
          <w:rFonts w:hint="eastAsia" w:ascii="Times New Roman" w:cs="Times New Roman"/>
          <w:lang w:val="en-US" w:eastAsia="zh-CN"/>
        </w:rPr>
        <w:t xml:space="preserve"> </w:t>
      </w:r>
      <w:r>
        <w:rPr>
          <w:rFonts w:hint="default" w:ascii="Times New Roman" w:hAnsi="Times New Roman" w:eastAsia="宋体" w:cs="Times New Roman"/>
        </w:rPr>
        <w:t>g</w:t>
      </w:r>
      <w:r>
        <w:rPr>
          <w:rFonts w:hint="eastAsia" w:ascii="Times New Roman" w:cs="Times New Roman"/>
          <w:lang w:eastAsia="zh-CN"/>
        </w:rPr>
        <w:t>（</w:t>
      </w:r>
      <w:r>
        <w:rPr>
          <w:rFonts w:hint="default" w:ascii="Times New Roman" w:hAnsi="Times New Roman" w:eastAsia="宋体" w:cs="Times New Roman"/>
        </w:rPr>
        <w:t>mL），加人225</w:t>
      </w:r>
      <w:r>
        <w:rPr>
          <w:rFonts w:hint="eastAsia" w:ascii="Times New Roman" w:cs="Times New Roman"/>
          <w:lang w:val="en-US" w:eastAsia="zh-CN"/>
        </w:rPr>
        <w:t xml:space="preserve"> </w:t>
      </w:r>
      <w:r>
        <w:rPr>
          <w:rFonts w:hint="default" w:ascii="Times New Roman" w:hAnsi="Times New Roman" w:eastAsia="宋体" w:cs="Times New Roman"/>
        </w:rPr>
        <w:t>mL 37</w:t>
      </w:r>
      <w:r>
        <w:rPr>
          <w:rFonts w:hint="eastAsia" w:ascii="Times New Roman" w:cs="Times New Roman"/>
          <w:lang w:val="en-US" w:eastAsia="zh-CN"/>
        </w:rPr>
        <w:t xml:space="preserve"> </w:t>
      </w:r>
      <w:r>
        <w:rPr>
          <w:rFonts w:hint="default" w:ascii="Times New Roman" w:hAnsi="Times New Roman" w:eastAsia="宋体" w:cs="Times New Roman"/>
        </w:rPr>
        <w:t>℃预热的增菌培养基</w:t>
      </w:r>
      <w:r>
        <w:rPr>
          <w:rFonts w:hint="eastAsia" w:ascii="Times New Roman" w:cs="Times New Roman"/>
          <w:lang w:eastAsia="zh-CN"/>
        </w:rPr>
        <w:t>（</w:t>
      </w:r>
      <w:r>
        <w:rPr>
          <w:rFonts w:hint="default" w:ascii="Times New Roman" w:hAnsi="Times New Roman" w:eastAsia="宋体" w:cs="Times New Roman"/>
        </w:rPr>
        <w:t>ASPW</w:t>
      </w:r>
      <w:r>
        <w:rPr>
          <w:rFonts w:hint="eastAsia" w:ascii="Times New Roman" w:cs="Times New Roman"/>
          <w:lang w:eastAsia="zh-CN"/>
        </w:rPr>
        <w:t>）</w:t>
      </w:r>
      <w:r>
        <w:rPr>
          <w:rFonts w:hint="default" w:ascii="Times New Roman" w:hAnsi="Times New Roman" w:eastAsia="宋体" w:cs="Times New Roman"/>
        </w:rPr>
        <w:t>，均质1</w:t>
      </w:r>
      <w:r>
        <w:rPr>
          <w:rFonts w:hint="eastAsia" w:ascii="Times New Roman" w:cs="Times New Roman"/>
          <w:lang w:val="en-US" w:eastAsia="zh-CN"/>
        </w:rPr>
        <w:t xml:space="preserve"> </w:t>
      </w:r>
      <w:r>
        <w:rPr>
          <w:rFonts w:hint="default" w:ascii="Times New Roman" w:hAnsi="Times New Roman" w:eastAsia="宋体" w:cs="Times New Roman"/>
        </w:rPr>
        <w:t>min</w:t>
      </w:r>
      <w:r>
        <w:rPr>
          <w:rFonts w:hint="default" w:ascii="Times New Roman" w:hAnsi="Times New Roman" w:cs="Times New Roman"/>
          <w:kern w:val="2"/>
          <w:sz w:val="21"/>
        </w:rPr>
        <w:t>～</w:t>
      </w:r>
      <w:r>
        <w:rPr>
          <w:rFonts w:hint="default" w:ascii="Times New Roman" w:hAnsi="Times New Roman" w:eastAsia="宋体" w:cs="Times New Roman"/>
        </w:rPr>
        <w:t>2</w:t>
      </w:r>
      <w:r>
        <w:rPr>
          <w:rFonts w:hint="eastAsia" w:ascii="Times New Roman" w:cs="Times New Roman"/>
          <w:lang w:val="en-US" w:eastAsia="zh-CN"/>
        </w:rPr>
        <w:t xml:space="preserve"> </w:t>
      </w:r>
      <w:r>
        <w:rPr>
          <w:rFonts w:hint="default" w:ascii="Times New Roman" w:hAnsi="Times New Roman" w:eastAsia="宋体" w:cs="Times New Roman"/>
        </w:rPr>
        <w:t>min，制成1</w:t>
      </w:r>
      <w:r>
        <w:rPr>
          <w:rFonts w:hint="eastAsia" w:ascii="Times New Roman" w:cs="Times New Roman"/>
          <w:lang w:eastAsia="zh-CN"/>
        </w:rPr>
        <w:t>：</w:t>
      </w:r>
      <w:r>
        <w:rPr>
          <w:rFonts w:hint="default" w:ascii="Times New Roman" w:hAnsi="Times New Roman" w:eastAsia="宋体" w:cs="Times New Roman"/>
        </w:rPr>
        <w:t>10的初始悬液。</w:t>
      </w:r>
    </w:p>
    <w:p w14:paraId="19BCF574">
      <w:pPr>
        <w:pStyle w:val="58"/>
        <w:keepNext w:val="0"/>
        <w:keepLines w:val="0"/>
        <w:pageBreakBefore w:val="0"/>
        <w:widowControl/>
        <w:numPr>
          <w:ilvl w:val="0"/>
          <w:numId w:val="37"/>
        </w:numPr>
        <w:kinsoku/>
        <w:wordWrap/>
        <w:overflowPunct/>
        <w:topLinePunct w:val="0"/>
        <w:autoSpaceDE w:val="0"/>
        <w:autoSpaceDN w:val="0"/>
        <w:bidi w:val="0"/>
        <w:adjustRightInd/>
        <w:snapToGrid/>
        <w:spacing w:before="157" w:beforeLines="50" w:after="157" w:afterLines="50" w:line="276" w:lineRule="auto"/>
        <w:ind w:firstLine="0" w:firstLineChars="0"/>
        <w:textAlignment w:val="auto"/>
        <w:rPr>
          <w:rFonts w:hint="default" w:ascii="黑体" w:hAnsi="黑体" w:eastAsia="黑体" w:cs="黑体"/>
        </w:rPr>
      </w:pPr>
      <w:r>
        <w:rPr>
          <w:rFonts w:hint="default" w:ascii="黑体" w:hAnsi="黑体" w:eastAsia="黑体" w:cs="黑体"/>
        </w:rPr>
        <w:t>第一次选择性增菌</w:t>
      </w:r>
    </w:p>
    <w:p w14:paraId="012113A0">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eastAsia="宋体" w:cs="Times New Roman"/>
        </w:rPr>
      </w:pPr>
      <w:r>
        <w:rPr>
          <w:rFonts w:hint="default" w:ascii="Times New Roman" w:hAnsi="Times New Roman" w:eastAsia="宋体" w:cs="Times New Roman"/>
        </w:rPr>
        <w:t>对于深度冷冻的样品将初始悬液于37</w:t>
      </w:r>
      <w:r>
        <w:rPr>
          <w:rFonts w:hint="eastAsia" w:ascii="Times New Roman" w:cs="Times New Roman"/>
          <w:lang w:val="en-US" w:eastAsia="zh-CN"/>
        </w:rPr>
        <w:t xml:space="preserve"> </w:t>
      </w:r>
      <w:r>
        <w:rPr>
          <w:rFonts w:hint="default" w:ascii="Times New Roman" w:hAnsi="Times New Roman" w:eastAsia="宋体" w:cs="Times New Roman"/>
        </w:rPr>
        <w:t>℃培养6 h</w:t>
      </w:r>
      <w:r>
        <w:rPr>
          <w:rFonts w:hint="eastAsia" w:ascii="Times New Roman" w:cs="Times New Roman"/>
          <w:lang w:val="en-US" w:eastAsia="zh-CN"/>
        </w:rPr>
        <w:t xml:space="preserve"> </w:t>
      </w:r>
      <w:r>
        <w:rPr>
          <w:rFonts w:hint="eastAsia" w:ascii="宋体" w:hAnsi="宋体" w:eastAsia="宋体" w:cs="宋体"/>
        </w:rPr>
        <w:t>±</w:t>
      </w:r>
      <w:r>
        <w:rPr>
          <w:rFonts w:hint="eastAsia" w:hAnsi="宋体" w:cs="宋体"/>
          <w:lang w:val="en-US" w:eastAsia="zh-CN"/>
        </w:rPr>
        <w:t xml:space="preserve"> </w:t>
      </w:r>
      <w:r>
        <w:rPr>
          <w:rFonts w:hint="default" w:ascii="Times New Roman" w:hAnsi="Times New Roman" w:eastAsia="宋体" w:cs="Times New Roman"/>
        </w:rPr>
        <w:t>1 h，对千新鲜的或干燥的样品将初始悬液</w:t>
      </w:r>
      <w:r>
        <w:rPr>
          <w:rFonts w:hint="eastAsia" w:ascii="Times New Roman" w:cs="Times New Roman"/>
          <w:lang w:eastAsia="zh-CN"/>
        </w:rPr>
        <w:t>（</w:t>
      </w:r>
      <w:r>
        <w:rPr>
          <w:rFonts w:hint="default" w:ascii="Times New Roman" w:hAnsi="Times New Roman" w:eastAsia="宋体" w:cs="Times New Roman"/>
        </w:rPr>
        <w:t>9.1</w:t>
      </w:r>
      <w:r>
        <w:rPr>
          <w:rFonts w:hint="eastAsia" w:ascii="Times New Roman" w:cs="Times New Roman"/>
          <w:lang w:eastAsia="zh-CN"/>
        </w:rPr>
        <w:t>）</w:t>
      </w:r>
      <w:r>
        <w:rPr>
          <w:rFonts w:hint="default" w:ascii="Times New Roman" w:hAnsi="Times New Roman" w:eastAsia="宋体" w:cs="Times New Roman"/>
        </w:rPr>
        <w:t>千41.5</w:t>
      </w:r>
      <w:r>
        <w:rPr>
          <w:rFonts w:hint="eastAsia" w:ascii="Times New Roman" w:cs="Times New Roman"/>
          <w:lang w:val="en-US" w:eastAsia="zh-CN"/>
        </w:rPr>
        <w:t xml:space="preserve"> </w:t>
      </w:r>
      <w:r>
        <w:rPr>
          <w:rFonts w:hint="default" w:ascii="Times New Roman" w:hAnsi="Times New Roman" w:eastAsia="宋体" w:cs="Times New Roman"/>
        </w:rPr>
        <w:t>℃培养6 h</w:t>
      </w:r>
      <w:r>
        <w:rPr>
          <w:rFonts w:hint="eastAsia" w:ascii="Times New Roman" w:cs="Times New Roman"/>
          <w:lang w:val="en-US" w:eastAsia="zh-CN"/>
        </w:rPr>
        <w:t xml:space="preserve"> </w:t>
      </w:r>
      <w:r>
        <w:rPr>
          <w:rFonts w:hint="eastAsia" w:ascii="宋体" w:hAnsi="宋体" w:eastAsia="宋体" w:cs="宋体"/>
        </w:rPr>
        <w:t>±</w:t>
      </w:r>
      <w:r>
        <w:rPr>
          <w:rFonts w:hint="eastAsia" w:hAnsi="宋体" w:cs="宋体"/>
          <w:lang w:val="en-US" w:eastAsia="zh-CN"/>
        </w:rPr>
        <w:t xml:space="preserve"> </w:t>
      </w:r>
      <w:r>
        <w:rPr>
          <w:rFonts w:hint="default" w:ascii="Times New Roman" w:hAnsi="Times New Roman" w:eastAsia="宋体" w:cs="Times New Roman"/>
        </w:rPr>
        <w:t>1 h。</w:t>
      </w:r>
    </w:p>
    <w:p w14:paraId="6CFA823E">
      <w:pPr>
        <w:pStyle w:val="58"/>
        <w:keepNext w:val="0"/>
        <w:keepLines w:val="0"/>
        <w:pageBreakBefore w:val="0"/>
        <w:widowControl/>
        <w:numPr>
          <w:ilvl w:val="0"/>
          <w:numId w:val="37"/>
        </w:numPr>
        <w:kinsoku/>
        <w:wordWrap/>
        <w:overflowPunct/>
        <w:topLinePunct w:val="0"/>
        <w:autoSpaceDE w:val="0"/>
        <w:autoSpaceDN w:val="0"/>
        <w:bidi w:val="0"/>
        <w:adjustRightInd/>
        <w:snapToGrid/>
        <w:spacing w:before="157" w:beforeLines="50" w:after="157" w:afterLines="50" w:line="276" w:lineRule="auto"/>
        <w:ind w:firstLine="0" w:firstLineChars="0"/>
        <w:textAlignment w:val="auto"/>
        <w:rPr>
          <w:rFonts w:hint="default" w:ascii="黑体" w:hAnsi="黑体" w:eastAsia="黑体" w:cs="黑体"/>
        </w:rPr>
      </w:pPr>
      <w:r>
        <w:rPr>
          <w:rFonts w:hint="default" w:ascii="黑体" w:hAnsi="黑体" w:eastAsia="黑体" w:cs="黑体"/>
        </w:rPr>
        <w:t>第二次选择性增菌</w:t>
      </w:r>
    </w:p>
    <w:p w14:paraId="18DFE10F">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eastAsia="宋体" w:cs="Times New Roman"/>
        </w:rPr>
      </w:pPr>
      <w:r>
        <w:rPr>
          <w:rFonts w:hint="default" w:ascii="Times New Roman" w:hAnsi="Times New Roman" w:eastAsia="宋体" w:cs="Times New Roman"/>
        </w:rPr>
        <w:t>用无菌移液管吸取1 mL培养液注人含10</w:t>
      </w:r>
      <w:r>
        <w:rPr>
          <w:rFonts w:hint="eastAsia" w:ascii="Times New Roman" w:cs="Times New Roman"/>
          <w:lang w:val="en-US" w:eastAsia="zh-CN"/>
        </w:rPr>
        <w:t xml:space="preserve"> </w:t>
      </w:r>
      <w:r>
        <w:rPr>
          <w:rFonts w:hint="default" w:ascii="Times New Roman" w:hAnsi="Times New Roman" w:eastAsia="宋体" w:cs="Times New Roman"/>
        </w:rPr>
        <w:t>mL ASPW的试管内，于41.5</w:t>
      </w:r>
      <w:r>
        <w:rPr>
          <w:rFonts w:hint="eastAsia" w:ascii="Times New Roman" w:cs="Times New Roman"/>
          <w:lang w:val="en-US" w:eastAsia="zh-CN"/>
        </w:rPr>
        <w:t xml:space="preserve"> </w:t>
      </w:r>
      <w:r>
        <w:rPr>
          <w:rFonts w:hint="default" w:ascii="Times New Roman" w:hAnsi="Times New Roman" w:eastAsia="宋体" w:cs="Times New Roman"/>
        </w:rPr>
        <w:t>℃培养18</w:t>
      </w:r>
      <w:r>
        <w:rPr>
          <w:rFonts w:hint="eastAsia" w:ascii="Times New Roman" w:cs="Times New Roman"/>
          <w:lang w:val="en-US" w:eastAsia="zh-CN"/>
        </w:rPr>
        <w:t xml:space="preserve"> </w:t>
      </w:r>
      <w:r>
        <w:rPr>
          <w:rFonts w:hint="default" w:ascii="Times New Roman" w:hAnsi="Times New Roman" w:eastAsia="宋体" w:cs="Times New Roman"/>
        </w:rPr>
        <w:t>h</w:t>
      </w:r>
      <w:r>
        <w:rPr>
          <w:rFonts w:hint="eastAsia" w:ascii="Times New Roman" w:cs="Times New Roman"/>
          <w:lang w:val="en-US" w:eastAsia="zh-CN"/>
        </w:rPr>
        <w:t xml:space="preserve"> </w:t>
      </w:r>
      <w:r>
        <w:rPr>
          <w:rFonts w:hint="eastAsia" w:ascii="Times New Roman" w:cs="Times New Roman"/>
          <w:lang w:eastAsia="zh-CN"/>
        </w:rPr>
        <w:t>±</w:t>
      </w:r>
      <w:r>
        <w:rPr>
          <w:rFonts w:hint="eastAsia" w:ascii="Times New Roman" w:cs="Times New Roman"/>
          <w:lang w:val="en-US" w:eastAsia="zh-CN"/>
        </w:rPr>
        <w:t xml:space="preserve"> </w:t>
      </w:r>
      <w:r>
        <w:rPr>
          <w:rFonts w:hint="default" w:ascii="Times New Roman" w:hAnsi="Times New Roman" w:eastAsia="宋体" w:cs="Times New Roman"/>
        </w:rPr>
        <w:t>1</w:t>
      </w:r>
      <w:r>
        <w:rPr>
          <w:rFonts w:hint="eastAsia" w:ascii="Times New Roman" w:cs="Times New Roman"/>
          <w:lang w:val="en-US" w:eastAsia="zh-CN"/>
        </w:rPr>
        <w:t xml:space="preserve"> </w:t>
      </w:r>
      <w:r>
        <w:rPr>
          <w:rFonts w:hint="default" w:ascii="Times New Roman" w:hAnsi="Times New Roman" w:eastAsia="宋体" w:cs="Times New Roman"/>
        </w:rPr>
        <w:t>h.</w:t>
      </w:r>
    </w:p>
    <w:p w14:paraId="3BFB8719">
      <w:pPr>
        <w:pStyle w:val="58"/>
        <w:keepNext w:val="0"/>
        <w:keepLines w:val="0"/>
        <w:pageBreakBefore w:val="0"/>
        <w:widowControl/>
        <w:numPr>
          <w:ilvl w:val="0"/>
          <w:numId w:val="37"/>
        </w:numPr>
        <w:kinsoku/>
        <w:wordWrap/>
        <w:overflowPunct/>
        <w:topLinePunct w:val="0"/>
        <w:autoSpaceDE w:val="0"/>
        <w:autoSpaceDN w:val="0"/>
        <w:bidi w:val="0"/>
        <w:adjustRightInd/>
        <w:snapToGrid/>
        <w:spacing w:before="157" w:beforeLines="50" w:after="157" w:afterLines="50" w:line="276" w:lineRule="auto"/>
        <w:ind w:firstLine="0" w:firstLineChars="0"/>
        <w:textAlignment w:val="auto"/>
        <w:rPr>
          <w:rFonts w:hint="default" w:ascii="黑体" w:hAnsi="黑体" w:eastAsia="黑体" w:cs="黑体"/>
        </w:rPr>
      </w:pPr>
      <w:r>
        <w:rPr>
          <w:rFonts w:hint="default" w:ascii="黑体" w:hAnsi="黑体" w:eastAsia="黑体" w:cs="黑体"/>
        </w:rPr>
        <w:t>分离</w:t>
      </w:r>
    </w:p>
    <w:p w14:paraId="0CB7C700">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eastAsia="宋体" w:cs="Times New Roman"/>
        </w:rPr>
      </w:pPr>
      <w:r>
        <w:rPr>
          <w:rFonts w:hint="default" w:ascii="Times New Roman" w:hAnsi="Times New Roman" w:eastAsia="宋体" w:cs="Times New Roman"/>
        </w:rPr>
        <w:t>培养的两次增菌液，分别用接种环各划线接种在两种培养基上，一块TCBS琼脂平板和一块科玛嘉弧菌显色培养基（或TSAT</w:t>
      </w:r>
      <w:r>
        <w:rPr>
          <w:rFonts w:hint="eastAsia" w:ascii="Times New Roman" w:cs="Times New Roman"/>
          <w:lang w:eastAsia="zh-CN"/>
        </w:rPr>
        <w:t>）</w:t>
      </w:r>
      <w:r>
        <w:rPr>
          <w:rFonts w:hint="default" w:ascii="Times New Roman" w:hAnsi="Times New Roman" w:eastAsia="宋体" w:cs="Times New Roman"/>
        </w:rPr>
        <w:t>琼脂平板。翻转上述平皿置37℃培养箱中培养．24</w:t>
      </w:r>
      <w:r>
        <w:rPr>
          <w:rFonts w:hint="eastAsia" w:ascii="Times New Roman" w:cs="Times New Roman"/>
          <w:lang w:val="en-US" w:eastAsia="zh-CN"/>
        </w:rPr>
        <w:t xml:space="preserve"> </w:t>
      </w:r>
      <w:r>
        <w:rPr>
          <w:rFonts w:hint="default" w:ascii="Times New Roman" w:hAnsi="Times New Roman" w:eastAsia="宋体" w:cs="Times New Roman"/>
        </w:rPr>
        <w:t>h</w:t>
      </w:r>
      <w:r>
        <w:rPr>
          <w:rFonts w:hint="eastAsia" w:ascii="Times New Roman" w:cs="Times New Roman"/>
          <w:lang w:val="en-US" w:eastAsia="zh-CN"/>
        </w:rPr>
        <w:t xml:space="preserve"> </w:t>
      </w:r>
      <w:r>
        <w:rPr>
          <w:rFonts w:hint="eastAsia" w:ascii="Times New Roman" w:cs="Times New Roman"/>
          <w:lang w:eastAsia="zh-CN"/>
        </w:rPr>
        <w:t>±</w:t>
      </w:r>
      <w:r>
        <w:rPr>
          <w:rFonts w:hint="eastAsia" w:ascii="Times New Roman" w:cs="Times New Roman"/>
          <w:lang w:val="en-US" w:eastAsia="zh-CN"/>
        </w:rPr>
        <w:t xml:space="preserve"> </w:t>
      </w:r>
      <w:r>
        <w:rPr>
          <w:rFonts w:hint="default" w:ascii="Times New Roman" w:hAnsi="Times New Roman" w:eastAsia="宋体" w:cs="Times New Roman"/>
        </w:rPr>
        <w:t>3</w:t>
      </w:r>
      <w:r>
        <w:rPr>
          <w:rFonts w:hint="eastAsia" w:ascii="Times New Roman" w:cs="Times New Roman"/>
          <w:lang w:val="en-US" w:eastAsia="zh-CN"/>
        </w:rPr>
        <w:t xml:space="preserve"> </w:t>
      </w:r>
      <w:r>
        <w:rPr>
          <w:rFonts w:hint="default" w:ascii="Times New Roman" w:hAnsi="Times New Roman" w:eastAsia="宋体" w:cs="Times New Roman"/>
        </w:rPr>
        <w:t>h后，检查平板上的可疑菌落。</w:t>
      </w:r>
    </w:p>
    <w:p w14:paraId="3C016342">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eastAsia="宋体" w:cs="Times New Roman"/>
        </w:rPr>
      </w:pPr>
      <w:r>
        <w:rPr>
          <w:rFonts w:hint="default" w:ascii="Times New Roman" w:hAnsi="Times New Roman" w:eastAsia="宋体" w:cs="Times New Roman"/>
        </w:rPr>
        <w:t>典型的副溶血性弧菌在TCBS琼脂平板上表面光滑，菌落绿色（庶糖阴性），直径2</w:t>
      </w:r>
      <w:r>
        <w:rPr>
          <w:rFonts w:hint="eastAsia" w:ascii="Times New Roman" w:cs="Times New Roman"/>
          <w:lang w:val="en-US" w:eastAsia="zh-CN"/>
        </w:rPr>
        <w:t xml:space="preserve"> </w:t>
      </w:r>
      <w:r>
        <w:rPr>
          <w:rFonts w:hint="default" w:ascii="Times New Roman" w:hAnsi="Times New Roman" w:eastAsia="宋体" w:cs="Times New Roman"/>
        </w:rPr>
        <w:t>mm</w:t>
      </w:r>
      <w:r>
        <w:rPr>
          <w:rFonts w:hint="default" w:ascii="Times New Roman" w:hAnsi="Times New Roman" w:cs="Times New Roman"/>
          <w:kern w:val="2"/>
          <w:sz w:val="21"/>
        </w:rPr>
        <w:t>～</w:t>
      </w:r>
      <w:r>
        <w:rPr>
          <w:rFonts w:hint="default" w:ascii="Times New Roman" w:hAnsi="Times New Roman" w:eastAsia="宋体" w:cs="Times New Roman"/>
        </w:rPr>
        <w:t>3</w:t>
      </w:r>
      <w:r>
        <w:rPr>
          <w:rFonts w:hint="eastAsia" w:ascii="Times New Roman" w:cs="Times New Roman"/>
          <w:lang w:val="en-US" w:eastAsia="zh-CN"/>
        </w:rPr>
        <w:t xml:space="preserve"> </w:t>
      </w:r>
      <w:r>
        <w:rPr>
          <w:rFonts w:hint="default" w:ascii="Times New Roman" w:hAnsi="Times New Roman" w:eastAsia="宋体" w:cs="Times New Roman"/>
        </w:rPr>
        <w:t>mm。</w:t>
      </w:r>
    </w:p>
    <w:p w14:paraId="61437ADD">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eastAsia="宋体" w:cs="Times New Roman"/>
        </w:rPr>
      </w:pPr>
      <w:r>
        <w:rPr>
          <w:rFonts w:hint="default" w:ascii="Times New Roman" w:hAnsi="Times New Roman" w:eastAsia="宋体" w:cs="Times New Roman"/>
        </w:rPr>
        <w:t>典型的副溶血性弧菌在科玛嘉弧菌显色培养基上表面光滑，菌落粉紫色，直径2</w:t>
      </w:r>
      <w:r>
        <w:rPr>
          <w:rFonts w:hint="eastAsia" w:ascii="Times New Roman" w:cs="Times New Roman"/>
          <w:lang w:val="en-US" w:eastAsia="zh-CN"/>
        </w:rPr>
        <w:t xml:space="preserve"> </w:t>
      </w:r>
      <w:r>
        <w:rPr>
          <w:rFonts w:hint="default" w:ascii="Times New Roman" w:hAnsi="Times New Roman" w:eastAsia="宋体" w:cs="Times New Roman"/>
        </w:rPr>
        <w:t>mm</w:t>
      </w:r>
      <w:r>
        <w:rPr>
          <w:rFonts w:hint="default" w:ascii="Times New Roman" w:hAnsi="Times New Roman" w:cs="Times New Roman"/>
          <w:kern w:val="2"/>
          <w:sz w:val="21"/>
        </w:rPr>
        <w:t>～</w:t>
      </w:r>
      <w:r>
        <w:rPr>
          <w:rFonts w:hint="default" w:ascii="Times New Roman" w:hAnsi="Times New Roman" w:eastAsia="宋体" w:cs="Times New Roman"/>
        </w:rPr>
        <w:t>3</w:t>
      </w:r>
      <w:r>
        <w:rPr>
          <w:rFonts w:hint="eastAsia" w:ascii="Times New Roman" w:cs="Times New Roman"/>
          <w:lang w:val="en-US" w:eastAsia="zh-CN"/>
        </w:rPr>
        <w:t xml:space="preserve"> </w:t>
      </w:r>
      <w:r>
        <w:rPr>
          <w:rFonts w:hint="default" w:ascii="Times New Roman" w:hAnsi="Times New Roman" w:eastAsia="宋体" w:cs="Times New Roman"/>
        </w:rPr>
        <w:t>mm。</w:t>
      </w:r>
    </w:p>
    <w:p w14:paraId="2DA45074">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eastAsia="宋体" w:cs="Times New Roman"/>
        </w:rPr>
      </w:pPr>
      <w:r>
        <w:rPr>
          <w:rFonts w:hint="default" w:ascii="Times New Roman" w:hAnsi="Times New Roman" w:eastAsia="宋体" w:cs="Times New Roman"/>
        </w:rPr>
        <w:t>典型的副溶血性弧菌在TSAT琼脂平板上表面光滑，菌落暗红色，直径2</w:t>
      </w:r>
      <w:r>
        <w:rPr>
          <w:rFonts w:hint="eastAsia" w:ascii="Times New Roman" w:cs="Times New Roman"/>
          <w:lang w:val="en-US" w:eastAsia="zh-CN"/>
        </w:rPr>
        <w:t xml:space="preserve"> </w:t>
      </w:r>
      <w:r>
        <w:rPr>
          <w:rFonts w:hint="default" w:ascii="Times New Roman" w:hAnsi="Times New Roman" w:eastAsia="宋体" w:cs="Times New Roman"/>
        </w:rPr>
        <w:t>mm</w:t>
      </w:r>
      <w:r>
        <w:rPr>
          <w:rFonts w:hint="default" w:ascii="Times New Roman" w:hAnsi="Times New Roman" w:cs="Times New Roman"/>
          <w:kern w:val="2"/>
          <w:sz w:val="21"/>
        </w:rPr>
        <w:t>～</w:t>
      </w:r>
      <w:r>
        <w:rPr>
          <w:rFonts w:hint="default" w:ascii="Times New Roman" w:hAnsi="Times New Roman" w:eastAsia="宋体" w:cs="Times New Roman"/>
        </w:rPr>
        <w:t>3</w:t>
      </w:r>
      <w:r>
        <w:rPr>
          <w:rFonts w:hint="eastAsia" w:ascii="Times New Roman" w:cs="Times New Roman"/>
          <w:lang w:val="en-US" w:eastAsia="zh-CN"/>
        </w:rPr>
        <w:t xml:space="preserve"> </w:t>
      </w:r>
      <w:r>
        <w:rPr>
          <w:rFonts w:hint="default" w:ascii="Times New Roman" w:hAnsi="Times New Roman" w:eastAsia="宋体" w:cs="Times New Roman"/>
        </w:rPr>
        <w:t>mm。</w:t>
      </w:r>
    </w:p>
    <w:p w14:paraId="2F644A55">
      <w:pPr>
        <w:pStyle w:val="58"/>
        <w:keepNext w:val="0"/>
        <w:keepLines w:val="0"/>
        <w:pageBreakBefore w:val="0"/>
        <w:widowControl/>
        <w:numPr>
          <w:ilvl w:val="0"/>
          <w:numId w:val="37"/>
        </w:numPr>
        <w:kinsoku/>
        <w:wordWrap/>
        <w:overflowPunct/>
        <w:topLinePunct w:val="0"/>
        <w:autoSpaceDE w:val="0"/>
        <w:autoSpaceDN w:val="0"/>
        <w:bidi w:val="0"/>
        <w:adjustRightInd/>
        <w:snapToGrid/>
        <w:spacing w:before="157" w:beforeLines="50" w:after="157" w:afterLines="50" w:line="276" w:lineRule="auto"/>
        <w:ind w:firstLine="0" w:firstLineChars="0"/>
        <w:textAlignment w:val="auto"/>
        <w:rPr>
          <w:rFonts w:hint="default" w:ascii="黑体" w:hAnsi="黑体" w:eastAsia="黑体" w:cs="黑体"/>
        </w:rPr>
      </w:pPr>
      <w:r>
        <w:rPr>
          <w:rFonts w:hint="default" w:ascii="黑体" w:hAnsi="黑体" w:eastAsia="黑体" w:cs="黑体"/>
        </w:rPr>
        <w:t>确证试验</w:t>
      </w:r>
    </w:p>
    <w:p w14:paraId="746D0874">
      <w:pPr>
        <w:pStyle w:val="58"/>
        <w:keepNext w:val="0"/>
        <w:keepLines w:val="0"/>
        <w:pageBreakBefore w:val="0"/>
        <w:widowControl/>
        <w:kinsoku/>
        <w:wordWrap/>
        <w:overflowPunct/>
        <w:topLinePunct w:val="0"/>
        <w:autoSpaceDE w:val="0"/>
        <w:autoSpaceDN w:val="0"/>
        <w:bidi w:val="0"/>
        <w:adjustRightInd/>
        <w:snapToGrid/>
        <w:spacing w:line="276" w:lineRule="auto"/>
        <w:ind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5.1 挑选每个平板上的至少5个可疑菌落，如果平板上的可疑菌落数少于5个，挑选平板上所有可疑菌落。将挑选的菌落划线接种在含盐营养琼脂平板表面，翻转上述平皿置37</w:t>
      </w:r>
      <w:r>
        <w:rPr>
          <w:rFonts w:hint="eastAsia" w:ascii="Times New Roman" w:cs="Times New Roman"/>
          <w:lang w:val="en-US" w:eastAsia="zh-CN"/>
        </w:rPr>
        <w:t xml:space="preserve"> </w:t>
      </w:r>
      <w:r>
        <w:rPr>
          <w:rFonts w:hint="default" w:ascii="Times New Roman" w:hAnsi="Times New Roman" w:eastAsia="宋体" w:cs="Times New Roman"/>
        </w:rPr>
        <w:t>℃培养箱中培养24</w:t>
      </w:r>
      <w:r>
        <w:rPr>
          <w:rFonts w:hint="eastAsia" w:ascii="Times New Roman" w:cs="Times New Roman"/>
          <w:lang w:val="en-US" w:eastAsia="zh-CN"/>
        </w:rPr>
        <w:t xml:space="preserve"> </w:t>
      </w:r>
      <w:r>
        <w:rPr>
          <w:rFonts w:hint="default" w:ascii="Times New Roman" w:hAnsi="Times New Roman" w:eastAsia="宋体" w:cs="Times New Roman"/>
        </w:rPr>
        <w:t>h</w:t>
      </w:r>
      <w:r>
        <w:rPr>
          <w:rFonts w:hint="eastAsia" w:ascii="Times New Roman" w:cs="Times New Roman"/>
          <w:lang w:val="en-US" w:eastAsia="zh-CN"/>
        </w:rPr>
        <w:t xml:space="preserve"> </w:t>
      </w:r>
      <w:r>
        <w:rPr>
          <w:rFonts w:hint="eastAsia" w:ascii="Times New Roman" w:cs="Times New Roman"/>
          <w:lang w:eastAsia="zh-CN"/>
        </w:rPr>
        <w:t>±</w:t>
      </w:r>
      <w:r>
        <w:rPr>
          <w:rFonts w:hint="eastAsia" w:ascii="Times New Roman" w:cs="Times New Roman"/>
          <w:lang w:val="en-US" w:eastAsia="zh-CN"/>
        </w:rPr>
        <w:t xml:space="preserve"> </w:t>
      </w:r>
      <w:r>
        <w:rPr>
          <w:rFonts w:hint="default" w:ascii="Times New Roman" w:hAnsi="Times New Roman" w:eastAsia="宋体" w:cs="Times New Roman"/>
        </w:rPr>
        <w:t>3</w:t>
      </w:r>
      <w:r>
        <w:rPr>
          <w:rFonts w:hint="eastAsia" w:ascii="Times New Roman" w:cs="Times New Roman"/>
          <w:lang w:val="en-US" w:eastAsia="zh-CN"/>
        </w:rPr>
        <w:t xml:space="preserve"> </w:t>
      </w:r>
      <w:r>
        <w:rPr>
          <w:rFonts w:hint="default" w:ascii="Times New Roman" w:hAnsi="Times New Roman" w:eastAsia="宋体" w:cs="Times New Roman"/>
        </w:rPr>
        <w:t>h比获得单菌落，用纯培养物进行确证试验。</w:t>
      </w:r>
    </w:p>
    <w:p w14:paraId="4AEFCDE3">
      <w:pPr>
        <w:pStyle w:val="58"/>
        <w:keepNext w:val="0"/>
        <w:keepLines w:val="0"/>
        <w:pageBreakBefore w:val="0"/>
        <w:widowControl/>
        <w:kinsoku/>
        <w:wordWrap/>
        <w:overflowPunct/>
        <w:topLinePunct w:val="0"/>
        <w:autoSpaceDE w:val="0"/>
        <w:autoSpaceDN w:val="0"/>
        <w:bidi w:val="0"/>
        <w:adjustRightInd/>
        <w:snapToGrid/>
        <w:spacing w:line="276" w:lineRule="auto"/>
        <w:ind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5.2 氧化酶反应</w:t>
      </w:r>
    </w:p>
    <w:p w14:paraId="1E9BE080">
      <w:pPr>
        <w:pStyle w:val="58"/>
        <w:keepNext w:val="0"/>
        <w:keepLines w:val="0"/>
        <w:pageBreakBefore w:val="0"/>
        <w:widowControl/>
        <w:kinsoku/>
        <w:wordWrap/>
        <w:overflowPunct/>
        <w:topLinePunct w:val="0"/>
        <w:autoSpaceDE w:val="0"/>
        <w:autoSpaceDN w:val="0"/>
        <w:bidi w:val="0"/>
        <w:adjustRightInd/>
        <w:snapToGrid/>
        <w:spacing w:line="276" w:lineRule="auto"/>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用玻璃棒挑取在含盐营养琼脂平板上纯培养的单菌落，在浸有氧化酶试剂的滤纸上划线。也可按照说明使用商业上的测试片。如果在10</w:t>
      </w:r>
      <w:r>
        <w:rPr>
          <w:rFonts w:hint="eastAsia" w:ascii="Times New Roman" w:cs="Times New Roman"/>
          <w:lang w:val="en-US" w:eastAsia="zh-CN"/>
        </w:rPr>
        <w:t xml:space="preserve"> </w:t>
      </w:r>
      <w:r>
        <w:rPr>
          <w:rFonts w:hint="default" w:ascii="Times New Roman" w:hAnsi="Times New Roman" w:eastAsia="宋体" w:cs="Times New Roman"/>
        </w:rPr>
        <w:t>s内变为紫红色、紫罗兰色或深紫色为阳性。</w:t>
      </w:r>
    </w:p>
    <w:p w14:paraId="495CDD13">
      <w:pPr>
        <w:pStyle w:val="58"/>
        <w:keepNext w:val="0"/>
        <w:keepLines w:val="0"/>
        <w:pageBreakBefore w:val="0"/>
        <w:widowControl/>
        <w:kinsoku/>
        <w:wordWrap/>
        <w:overflowPunct/>
        <w:topLinePunct w:val="0"/>
        <w:autoSpaceDE w:val="0"/>
        <w:autoSpaceDN w:val="0"/>
        <w:bidi w:val="0"/>
        <w:adjustRightInd/>
        <w:snapToGrid/>
        <w:spacing w:line="276" w:lineRule="auto"/>
        <w:ind w:firstLine="420"/>
        <w:textAlignment w:val="auto"/>
        <w:rPr>
          <w:rFonts w:hint="default" w:ascii="Times New Roman" w:hAnsi="Times New Roman" w:eastAsia="宋体" w:cs="Times New Roman"/>
        </w:rPr>
      </w:pPr>
    </w:p>
    <w:p w14:paraId="20B1FD0B">
      <w:pPr>
        <w:pStyle w:val="58"/>
        <w:ind w:firstLine="420"/>
      </w:pPr>
    </w:p>
    <w:p w14:paraId="1CA5BFA2">
      <w:pPr>
        <w:pStyle w:val="58"/>
        <w:ind w:firstLine="420"/>
      </w:pPr>
    </w:p>
    <w:p w14:paraId="3A07AD9E">
      <w:pPr>
        <w:pStyle w:val="58"/>
        <w:ind w:firstLine="420"/>
      </w:pPr>
    </w:p>
    <w:p w14:paraId="525394A9">
      <w:pPr>
        <w:pStyle w:val="58"/>
        <w:ind w:firstLine="420"/>
      </w:pPr>
    </w:p>
    <w:p w14:paraId="59E9B57E">
      <w:pPr>
        <w:pStyle w:val="58"/>
        <w:ind w:firstLine="420"/>
      </w:pPr>
    </w:p>
    <w:p w14:paraId="46AF1B7B">
      <w:pPr>
        <w:pStyle w:val="58"/>
        <w:ind w:firstLine="420"/>
      </w:pPr>
    </w:p>
    <w:p w14:paraId="2B529189">
      <w:pPr>
        <w:pStyle w:val="58"/>
        <w:ind w:firstLine="420"/>
      </w:pPr>
    </w:p>
    <w:p w14:paraId="213CE33D">
      <w:pPr>
        <w:pStyle w:val="58"/>
        <w:ind w:firstLine="420"/>
      </w:pPr>
    </w:p>
    <w:p w14:paraId="750F300D">
      <w:pPr>
        <w:pStyle w:val="58"/>
        <w:ind w:firstLine="420"/>
      </w:pPr>
    </w:p>
    <w:p w14:paraId="13FA411B">
      <w:pPr>
        <w:pStyle w:val="58"/>
        <w:ind w:firstLine="420"/>
      </w:pPr>
    </w:p>
    <w:p w14:paraId="229B6D71">
      <w:pPr>
        <w:pStyle w:val="58"/>
        <w:ind w:firstLine="420"/>
      </w:pPr>
    </w:p>
    <w:p w14:paraId="27F657B9">
      <w:pPr>
        <w:pStyle w:val="58"/>
        <w:ind w:firstLine="3570" w:firstLineChars="1700"/>
        <w:rPr>
          <w:rFonts w:hint="eastAsia"/>
        </w:rPr>
      </w:pPr>
    </w:p>
    <w:p w14:paraId="631EE1AD">
      <w:pPr>
        <w:pStyle w:val="58"/>
        <w:ind w:firstLine="3570" w:firstLineChars="1700"/>
        <w:rPr>
          <w:rFonts w:hint="eastAsia"/>
        </w:rPr>
      </w:pPr>
    </w:p>
    <w:p w14:paraId="0EFD00AF">
      <w:pPr>
        <w:keepNext/>
        <w:widowControl/>
        <w:shd w:val="clear" w:color="FFFFFF" w:fill="FFFFFF"/>
        <w:tabs>
          <w:tab w:val="left" w:pos="0"/>
          <w:tab w:val="left" w:pos="360"/>
          <w:tab w:val="left" w:pos="6405"/>
        </w:tabs>
        <w:adjustRightInd/>
        <w:spacing w:before="640" w:after="280" w:line="240" w:lineRule="auto"/>
        <w:jc w:val="center"/>
        <w:outlineLvl w:val="0"/>
        <w:rPr>
          <w:rFonts w:hint="eastAsia" w:ascii="Times New Roman" w:hAnsi="Times New Roman" w:eastAsia="黑体"/>
          <w:kern w:val="0"/>
          <w:szCs w:val="20"/>
          <w:lang w:val="en-US" w:eastAsia="zh-CN"/>
        </w:rPr>
      </w:pPr>
      <w:r>
        <w:rPr>
          <w:rFonts w:hint="eastAsia" w:ascii="Times New Roman" w:hAnsi="Times New Roman" w:eastAsia="黑体"/>
          <w:kern w:val="0"/>
          <w:szCs w:val="20"/>
        </w:rPr>
        <w:t>附录</w:t>
      </w:r>
      <w:r>
        <w:rPr>
          <w:rFonts w:hint="eastAsia" w:ascii="Times New Roman" w:hAnsi="Times New Roman" w:eastAsia="黑体"/>
          <w:kern w:val="0"/>
          <w:szCs w:val="20"/>
          <w:lang w:val="en-US" w:eastAsia="zh-CN"/>
        </w:rPr>
        <w:t>F</w:t>
      </w:r>
    </w:p>
    <w:p w14:paraId="5D7800A9">
      <w:pPr>
        <w:pStyle w:val="2"/>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（资料性）</w:t>
      </w:r>
    </w:p>
    <w:p w14:paraId="4C5D8543">
      <w:pPr>
        <w:pStyle w:val="2"/>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气单胞菌检测方法（嗜水气单胞菌）</w:t>
      </w:r>
    </w:p>
    <w:p w14:paraId="0E25AC46">
      <w:pPr>
        <w:pStyle w:val="58"/>
        <w:keepNext w:val="0"/>
        <w:keepLines w:val="0"/>
        <w:pageBreakBefore w:val="0"/>
        <w:widowControl/>
        <w:numPr>
          <w:ilvl w:val="0"/>
          <w:numId w:val="38"/>
        </w:numPr>
        <w:kinsoku/>
        <w:wordWrap/>
        <w:overflowPunct/>
        <w:topLinePunct w:val="0"/>
        <w:autoSpaceDE w:val="0"/>
        <w:autoSpaceDN w:val="0"/>
        <w:bidi w:val="0"/>
        <w:adjustRightInd/>
        <w:snapToGrid/>
        <w:spacing w:before="157" w:beforeLines="50" w:after="157" w:afterLines="50" w:line="276" w:lineRule="auto"/>
        <w:ind w:firstLine="0" w:firstLineChars="0"/>
        <w:textAlignment w:val="auto"/>
        <w:rPr>
          <w:rFonts w:hint="eastAsia" w:ascii="黑体" w:hAnsi="黑体" w:eastAsia="黑体" w:cs="黑体"/>
        </w:rPr>
      </w:pPr>
      <w:r>
        <w:rPr>
          <w:rFonts w:hint="eastAsia" w:ascii="黑体" w:hAnsi="黑体" w:eastAsia="黑体" w:cs="黑体"/>
        </w:rPr>
        <w:t>菌种分离培养</w:t>
      </w:r>
    </w:p>
    <w:p w14:paraId="11EBB2E4">
      <w:pPr>
        <w:pStyle w:val="58"/>
        <w:keepNext w:val="0"/>
        <w:keepLines w:val="0"/>
        <w:pageBreakBefore w:val="0"/>
        <w:widowControl/>
        <w:kinsoku/>
        <w:wordWrap/>
        <w:overflowPunct/>
        <w:topLinePunct w:val="0"/>
        <w:autoSpaceDE w:val="0"/>
        <w:autoSpaceDN w:val="0"/>
        <w:bidi w:val="0"/>
        <w:adjustRightInd/>
        <w:snapToGrid/>
        <w:spacing w:line="276"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先将菌株接种于普通肉汤28</w:t>
      </w:r>
      <w:r>
        <w:rPr>
          <w:rFonts w:hint="eastAsia" w:ascii="Times New Roman" w:cs="Times New Roman"/>
          <w:lang w:val="en-US" w:eastAsia="zh-CN"/>
        </w:rPr>
        <w:t xml:space="preserve"> </w:t>
      </w:r>
      <w:r>
        <w:rPr>
          <w:rFonts w:hint="default" w:ascii="Times New Roman" w:hAnsi="Times New Roman" w:cs="Times New Roman"/>
        </w:rPr>
        <w:t>℃培养24</w:t>
      </w:r>
      <w:r>
        <w:rPr>
          <w:rFonts w:hint="eastAsia" w:ascii="Times New Roman" w:cs="Times New Roman"/>
          <w:lang w:val="en-US" w:eastAsia="zh-CN"/>
        </w:rPr>
        <w:t xml:space="preserve"> </w:t>
      </w:r>
      <w:r>
        <w:rPr>
          <w:rFonts w:hint="default" w:ascii="Times New Roman" w:hAnsi="Times New Roman" w:cs="Times New Roman"/>
        </w:rPr>
        <w:t>h，再划线接种千普通琼脂平板，使之形成单个菌落。</w:t>
      </w:r>
    </w:p>
    <w:p w14:paraId="322870D6">
      <w:pPr>
        <w:pStyle w:val="58"/>
        <w:keepNext w:val="0"/>
        <w:keepLines w:val="0"/>
        <w:pageBreakBefore w:val="0"/>
        <w:widowControl/>
        <w:numPr>
          <w:ilvl w:val="0"/>
          <w:numId w:val="38"/>
        </w:numPr>
        <w:kinsoku/>
        <w:wordWrap/>
        <w:overflowPunct/>
        <w:topLinePunct w:val="0"/>
        <w:autoSpaceDE w:val="0"/>
        <w:autoSpaceDN w:val="0"/>
        <w:bidi w:val="0"/>
        <w:adjustRightInd/>
        <w:snapToGrid/>
        <w:spacing w:before="157" w:beforeLines="50" w:after="157" w:afterLines="50" w:line="276" w:lineRule="auto"/>
        <w:ind w:firstLine="0" w:firstLineChars="0"/>
        <w:textAlignment w:val="auto"/>
        <w:rPr>
          <w:rFonts w:hint="eastAsia" w:ascii="黑体" w:hAnsi="黑体" w:eastAsia="黑体" w:cs="黑体"/>
        </w:rPr>
      </w:pPr>
      <w:r>
        <w:rPr>
          <w:rFonts w:hint="eastAsia" w:ascii="黑体" w:hAnsi="黑体" w:eastAsia="黑体" w:cs="黑体"/>
        </w:rPr>
        <w:t>菌落选取</w:t>
      </w:r>
    </w:p>
    <w:p w14:paraId="2BB167CC">
      <w:pPr>
        <w:pStyle w:val="58"/>
        <w:keepNext w:val="0"/>
        <w:keepLines w:val="0"/>
        <w:pageBreakBefore w:val="0"/>
        <w:widowControl/>
        <w:kinsoku/>
        <w:wordWrap/>
        <w:overflowPunct/>
        <w:topLinePunct w:val="0"/>
        <w:autoSpaceDE w:val="0"/>
        <w:autoSpaceDN w:val="0"/>
        <w:bidi w:val="0"/>
        <w:adjustRightInd/>
        <w:snapToGrid/>
        <w:spacing w:line="276" w:lineRule="auto"/>
        <w:textAlignment w:val="auto"/>
        <w:rPr>
          <w:rFonts w:hint="default" w:ascii="Times New Roman" w:hAnsi="Times New Roman" w:cs="Times New Roman"/>
        </w:rPr>
      </w:pPr>
      <w:r>
        <w:rPr>
          <w:rFonts w:hint="default" w:ascii="Times New Roman" w:hAnsi="Times New Roman" w:cs="Times New Roman"/>
        </w:rPr>
        <w:t>嗜水气单胞菌在普通琼脂平板上，28</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eastAsia" w:ascii="Times New Roman" w:cs="Times New Roman"/>
          <w:lang w:eastAsia="zh-CN"/>
        </w:rPr>
        <w:t>±</w:t>
      </w:r>
      <w:r>
        <w:rPr>
          <w:rFonts w:hint="eastAsia" w:ascii="Times New Roman" w:cs="Times New Roman"/>
          <w:lang w:val="en-US" w:eastAsia="zh-CN"/>
        </w:rPr>
        <w:t xml:space="preserve"> </w:t>
      </w:r>
      <w:r>
        <w:rPr>
          <w:rFonts w:hint="default" w:ascii="Times New Roman" w:hAnsi="Times New Roman" w:cs="Times New Roman"/>
        </w:rPr>
        <w:t>1</w:t>
      </w:r>
      <w:r>
        <w:rPr>
          <w:rFonts w:hint="eastAsia" w:ascii="Times New Roman" w:cs="Times New Roman"/>
          <w:lang w:val="en-US" w:eastAsia="zh-CN"/>
        </w:rPr>
        <w:t xml:space="preserve"> </w:t>
      </w:r>
      <w:r>
        <w:rPr>
          <w:rFonts w:hint="default" w:ascii="Times New Roman" w:hAnsi="Times New Roman" w:cs="Times New Roman"/>
        </w:rPr>
        <w:t>℃培养24</w:t>
      </w:r>
      <w:r>
        <w:rPr>
          <w:rFonts w:hint="eastAsia" w:ascii="Times New Roman" w:cs="Times New Roman"/>
          <w:lang w:val="en-US" w:eastAsia="zh-CN"/>
        </w:rPr>
        <w:t xml:space="preserve"> </w:t>
      </w:r>
      <w:r>
        <w:rPr>
          <w:rFonts w:hint="default" w:ascii="Times New Roman" w:hAnsi="Times New Roman" w:cs="Times New Roman"/>
        </w:rPr>
        <w:t>h的菌落为光滑、微凸、圆整、无色或淡黄色，有特殊芳香气味。</w:t>
      </w:r>
    </w:p>
    <w:p w14:paraId="2916DFBE">
      <w:pPr>
        <w:pStyle w:val="58"/>
        <w:keepNext w:val="0"/>
        <w:keepLines w:val="0"/>
        <w:pageBreakBefore w:val="0"/>
        <w:widowControl/>
        <w:numPr>
          <w:ilvl w:val="0"/>
          <w:numId w:val="38"/>
        </w:numPr>
        <w:kinsoku/>
        <w:wordWrap/>
        <w:overflowPunct/>
        <w:topLinePunct w:val="0"/>
        <w:autoSpaceDE w:val="0"/>
        <w:autoSpaceDN w:val="0"/>
        <w:bidi w:val="0"/>
        <w:adjustRightInd/>
        <w:snapToGrid/>
        <w:spacing w:before="157" w:beforeLines="50" w:after="157" w:afterLines="50" w:line="276" w:lineRule="auto"/>
        <w:ind w:firstLine="0" w:firstLineChars="0"/>
        <w:textAlignment w:val="auto"/>
        <w:rPr>
          <w:rFonts w:hint="eastAsia" w:ascii="黑体" w:hAnsi="黑体" w:eastAsia="黑体" w:cs="黑体"/>
        </w:rPr>
      </w:pPr>
      <w:r>
        <w:rPr>
          <w:rFonts w:hint="eastAsia" w:ascii="黑体" w:hAnsi="黑体" w:eastAsia="黑体" w:cs="黑体"/>
        </w:rPr>
        <w:t>氧化酶试验</w:t>
      </w:r>
    </w:p>
    <w:p w14:paraId="4B554DB4">
      <w:pPr>
        <w:pStyle w:val="58"/>
        <w:keepNext w:val="0"/>
        <w:keepLines w:val="0"/>
        <w:pageBreakBefore w:val="0"/>
        <w:widowControl/>
        <w:kinsoku/>
        <w:wordWrap/>
        <w:overflowPunct/>
        <w:topLinePunct w:val="0"/>
        <w:autoSpaceDE w:val="0"/>
        <w:autoSpaceDN w:val="0"/>
        <w:bidi w:val="0"/>
        <w:adjustRightInd/>
        <w:snapToGrid/>
        <w:spacing w:line="276" w:lineRule="auto"/>
        <w:ind w:firstLine="420" w:firstLineChars="200"/>
        <w:textAlignment w:val="auto"/>
        <w:rPr>
          <w:rFonts w:hint="default" w:ascii="Times New Roman" w:hAnsi="Times New Roman" w:cs="Times New Roman"/>
        </w:rPr>
      </w:pPr>
      <w:r>
        <w:rPr>
          <w:rFonts w:hint="eastAsia"/>
        </w:rPr>
        <w:t>用</w:t>
      </w:r>
      <w:r>
        <w:rPr>
          <w:rFonts w:hint="default" w:ascii="Times New Roman" w:hAnsi="Times New Roman" w:cs="Times New Roman"/>
        </w:rPr>
        <w:t>铅金耳挑取普通琼脂平板上单个菌落少许，涂布于浸有1％盐酸四甲基对苯胺的滤纸片上，10</w:t>
      </w:r>
      <w:r>
        <w:rPr>
          <w:rFonts w:hint="eastAsia" w:ascii="Times New Roman" w:cs="Times New Roman"/>
          <w:lang w:val="en-US" w:eastAsia="zh-CN"/>
        </w:rPr>
        <w:t xml:space="preserve"> </w:t>
      </w:r>
      <w:r>
        <w:rPr>
          <w:rFonts w:hint="default" w:ascii="Times New Roman" w:hAnsi="Times New Roman" w:cs="Times New Roman"/>
        </w:rPr>
        <w:t>s内观察细菌涂处的颜色，若细菌涂布处出现红色，判为阳性，嗜水气单胞菌应为阳性。</w:t>
      </w:r>
    </w:p>
    <w:p w14:paraId="28AF96EA">
      <w:pPr>
        <w:pStyle w:val="58"/>
        <w:ind w:firstLine="420"/>
      </w:pPr>
    </w:p>
    <w:p w14:paraId="1332283C">
      <w:pPr>
        <w:pStyle w:val="58"/>
        <w:ind w:firstLine="420"/>
      </w:pPr>
    </w:p>
    <w:p w14:paraId="25D39CFD">
      <w:pPr>
        <w:pStyle w:val="58"/>
        <w:ind w:firstLine="420"/>
      </w:pPr>
    </w:p>
    <w:p w14:paraId="537A0E50">
      <w:pPr>
        <w:pStyle w:val="58"/>
        <w:ind w:firstLine="420"/>
      </w:pPr>
    </w:p>
    <w:p w14:paraId="769BB69F">
      <w:pPr>
        <w:pStyle w:val="58"/>
        <w:ind w:firstLine="420"/>
      </w:pPr>
    </w:p>
    <w:p w14:paraId="22D1E044">
      <w:pPr>
        <w:pStyle w:val="58"/>
        <w:ind w:firstLine="420"/>
      </w:pPr>
    </w:p>
    <w:p w14:paraId="5BB1837F">
      <w:pPr>
        <w:pStyle w:val="58"/>
        <w:ind w:firstLine="420"/>
      </w:pPr>
    </w:p>
    <w:p w14:paraId="58707CA9">
      <w:pPr>
        <w:pStyle w:val="58"/>
        <w:ind w:firstLine="420"/>
      </w:pPr>
    </w:p>
    <w:p w14:paraId="35DF4255">
      <w:pPr>
        <w:pStyle w:val="58"/>
        <w:ind w:firstLine="420"/>
      </w:pPr>
    </w:p>
    <w:p w14:paraId="1F33473B">
      <w:pPr>
        <w:pStyle w:val="58"/>
        <w:ind w:firstLine="420"/>
      </w:pPr>
    </w:p>
    <w:p w14:paraId="1082CB68">
      <w:pPr>
        <w:pStyle w:val="58"/>
        <w:ind w:firstLine="420"/>
      </w:pPr>
    </w:p>
    <w:p w14:paraId="7163CC87">
      <w:pPr>
        <w:pStyle w:val="58"/>
        <w:ind w:firstLine="420"/>
      </w:pPr>
    </w:p>
    <w:p w14:paraId="25628B6D">
      <w:pPr>
        <w:pStyle w:val="58"/>
        <w:ind w:firstLine="420"/>
      </w:pPr>
    </w:p>
    <w:p w14:paraId="6BBE3FF1">
      <w:pPr>
        <w:pStyle w:val="58"/>
        <w:ind w:firstLine="420"/>
      </w:pPr>
    </w:p>
    <w:p w14:paraId="218EDF03">
      <w:pPr>
        <w:pStyle w:val="58"/>
        <w:ind w:firstLine="420"/>
      </w:pPr>
    </w:p>
    <w:p w14:paraId="05A16308">
      <w:pPr>
        <w:pStyle w:val="58"/>
        <w:ind w:firstLine="420"/>
      </w:pPr>
    </w:p>
    <w:p w14:paraId="07F382BB">
      <w:pPr>
        <w:pStyle w:val="58"/>
        <w:ind w:firstLine="420"/>
      </w:pPr>
    </w:p>
    <w:p w14:paraId="786A5985">
      <w:pPr>
        <w:pStyle w:val="58"/>
        <w:ind w:firstLine="420"/>
      </w:pPr>
    </w:p>
    <w:p w14:paraId="7860843B">
      <w:pPr>
        <w:pStyle w:val="58"/>
        <w:ind w:firstLine="420"/>
      </w:pPr>
    </w:p>
    <w:p w14:paraId="2FA5141D">
      <w:pPr>
        <w:pStyle w:val="58"/>
        <w:ind w:firstLine="420"/>
      </w:pPr>
    </w:p>
    <w:p w14:paraId="67D5E1E5">
      <w:pPr>
        <w:pStyle w:val="58"/>
        <w:ind w:firstLine="420"/>
      </w:pPr>
    </w:p>
    <w:p w14:paraId="628348D4">
      <w:pPr>
        <w:pStyle w:val="58"/>
        <w:ind w:firstLine="420"/>
      </w:pPr>
    </w:p>
    <w:p w14:paraId="51BCF796">
      <w:pPr>
        <w:pStyle w:val="58"/>
        <w:ind w:firstLine="420"/>
      </w:pPr>
    </w:p>
    <w:p w14:paraId="5D75474D">
      <w:pPr>
        <w:pStyle w:val="58"/>
        <w:ind w:firstLine="420"/>
      </w:pPr>
    </w:p>
    <w:p w14:paraId="2D718738">
      <w:pPr>
        <w:pStyle w:val="58"/>
        <w:ind w:firstLine="420"/>
      </w:pPr>
    </w:p>
    <w:p w14:paraId="20567B63">
      <w:pPr>
        <w:pStyle w:val="58"/>
        <w:ind w:firstLine="420"/>
      </w:pPr>
    </w:p>
    <w:p w14:paraId="1FBC36DF">
      <w:pPr>
        <w:pStyle w:val="58"/>
        <w:ind w:firstLine="420"/>
      </w:pPr>
    </w:p>
    <w:p w14:paraId="2654005A">
      <w:pPr>
        <w:pStyle w:val="58"/>
        <w:ind w:firstLine="420"/>
      </w:pPr>
    </w:p>
    <w:p w14:paraId="75ABA3FA">
      <w:pPr>
        <w:pStyle w:val="58"/>
        <w:ind w:firstLine="420"/>
      </w:pPr>
    </w:p>
    <w:p w14:paraId="7398C1C1">
      <w:pPr>
        <w:pStyle w:val="58"/>
        <w:ind w:firstLine="420"/>
      </w:pPr>
    </w:p>
    <w:p w14:paraId="3D8A6357">
      <w:pPr>
        <w:pStyle w:val="58"/>
        <w:ind w:firstLine="420"/>
      </w:pPr>
    </w:p>
    <w:p w14:paraId="381A5D29">
      <w:pPr>
        <w:pStyle w:val="58"/>
        <w:ind w:firstLine="420"/>
        <w:rPr>
          <w:rFonts w:hint="eastAsia"/>
        </w:rPr>
      </w:pPr>
    </w:p>
    <w:p w14:paraId="2B2DE063">
      <w:pPr>
        <w:pStyle w:val="58"/>
        <w:spacing w:line="360" w:lineRule="auto"/>
        <w:ind w:firstLine="482"/>
        <w:jc w:val="center"/>
        <w:rPr>
          <w:rFonts w:hAnsi="宋体"/>
          <w:b/>
          <w:bCs/>
          <w:sz w:val="24"/>
          <w:szCs w:val="24"/>
        </w:rPr>
      </w:pPr>
      <w:r>
        <w:rPr>
          <w:rFonts w:hint="eastAsia" w:hAnsi="宋体"/>
          <w:b/>
          <w:bCs/>
          <w:sz w:val="24"/>
          <w:szCs w:val="24"/>
        </w:rPr>
        <w:t>参  考  文  献</w:t>
      </w:r>
    </w:p>
    <w:p w14:paraId="1A060278">
      <w:pPr>
        <w:pStyle w:val="233"/>
        <w:spacing w:line="360" w:lineRule="auto"/>
        <w:jc w:val="left"/>
        <w:rPr>
          <w:rFonts w:hint="default" w:ascii="Times New Roman" w:hAnsi="Times New Roman" w:cs="Times New Roman"/>
        </w:rPr>
      </w:pPr>
      <w:r>
        <w:rPr>
          <w:rFonts w:hint="default" w:ascii="Times New Roman" w:hAnsi="Times New Roman" w:cs="Times New Roman"/>
        </w:rPr>
        <w:t>国务院令424号—2004 病原微生物实验室生物安全管理条例</w:t>
      </w:r>
    </w:p>
    <w:p w14:paraId="73997A86">
      <w:pPr>
        <w:pStyle w:val="233"/>
        <w:spacing w:line="360" w:lineRule="auto"/>
        <w:jc w:val="left"/>
        <w:rPr>
          <w:rFonts w:hint="default" w:ascii="Times New Roman" w:hAnsi="Times New Roman" w:cs="Times New Roman"/>
        </w:rPr>
      </w:pPr>
      <w:r>
        <w:rPr>
          <w:rFonts w:hint="default" w:ascii="Times New Roman" w:hAnsi="Times New Roman" w:cs="Times New Roman"/>
        </w:rPr>
        <w:t>农业部令53号—2005 动物病原微生物分类名录</w:t>
      </w:r>
    </w:p>
    <w:p w14:paraId="61FE6B14">
      <w:pPr>
        <w:pStyle w:val="233"/>
        <w:spacing w:line="360" w:lineRule="auto"/>
        <w:jc w:val="left"/>
        <w:rPr>
          <w:rFonts w:hint="default" w:ascii="Times New Roman" w:hAnsi="Times New Roman" w:cs="Times New Roman"/>
        </w:rPr>
      </w:pPr>
      <w:r>
        <w:rPr>
          <w:rFonts w:hint="default" w:ascii="Times New Roman" w:hAnsi="Times New Roman" w:cs="Times New Roman"/>
        </w:rPr>
        <w:t>农业部161号公告—2001 肥料登记资料要求</w:t>
      </w:r>
    </w:p>
    <w:p w14:paraId="785EB69A">
      <w:pPr>
        <w:pStyle w:val="233"/>
        <w:spacing w:line="360" w:lineRule="auto"/>
        <w:jc w:val="left"/>
        <w:rPr>
          <w:rFonts w:hint="default" w:ascii="Times New Roman" w:hAnsi="Times New Roman" w:cs="Times New Roman"/>
        </w:rPr>
      </w:pPr>
      <w:r>
        <w:rPr>
          <w:rFonts w:hint="default" w:ascii="Times New Roman" w:hAnsi="Times New Roman" w:cs="Times New Roman"/>
        </w:rPr>
        <w:t>农业部1773号公告—2012 饲料原料目录</w:t>
      </w:r>
    </w:p>
    <w:p w14:paraId="64903811">
      <w:pPr>
        <w:pStyle w:val="233"/>
        <w:spacing w:line="360" w:lineRule="auto"/>
        <w:jc w:val="left"/>
        <w:rPr>
          <w:rFonts w:hint="default" w:ascii="Times New Roman" w:hAnsi="Times New Roman" w:cs="Times New Roman"/>
        </w:rPr>
      </w:pPr>
      <w:r>
        <w:rPr>
          <w:rFonts w:hint="default" w:ascii="Times New Roman" w:hAnsi="Times New Roman" w:cs="Times New Roman"/>
        </w:rPr>
        <w:t>农业部2038号公告—2017 饲料原料目录</w:t>
      </w:r>
    </w:p>
    <w:p w14:paraId="0BC3C36A">
      <w:pPr>
        <w:pStyle w:val="233"/>
        <w:spacing w:line="360" w:lineRule="auto"/>
        <w:jc w:val="left"/>
        <w:rPr>
          <w:rFonts w:hint="default" w:ascii="Times New Roman" w:hAnsi="Times New Roman" w:cs="Times New Roman"/>
        </w:rPr>
      </w:pPr>
      <w:r>
        <w:rPr>
          <w:rFonts w:hint="default" w:ascii="Times New Roman" w:hAnsi="Times New Roman" w:cs="Times New Roman"/>
        </w:rPr>
        <w:t>农业部2133号公告—2014 饲料原料目录</w:t>
      </w:r>
    </w:p>
    <w:p w14:paraId="702C67D0">
      <w:pPr>
        <w:pStyle w:val="233"/>
        <w:spacing w:line="360" w:lineRule="auto"/>
        <w:jc w:val="left"/>
        <w:rPr>
          <w:rFonts w:hint="default" w:ascii="Times New Roman" w:hAnsi="Times New Roman" w:cs="Times New Roman"/>
        </w:rPr>
      </w:pPr>
      <w:r>
        <w:rPr>
          <w:rFonts w:hint="default" w:ascii="Times New Roman" w:hAnsi="Times New Roman" w:cs="Times New Roman"/>
        </w:rPr>
        <w:t>农业部2249号公告—2015 饲料原料目录</w:t>
      </w:r>
    </w:p>
    <w:p w14:paraId="72977A24">
      <w:pPr>
        <w:pStyle w:val="233"/>
        <w:spacing w:line="360" w:lineRule="auto"/>
        <w:jc w:val="left"/>
        <w:rPr>
          <w:rFonts w:hint="default" w:ascii="Times New Roman" w:hAnsi="Times New Roman" w:cs="Times New Roman"/>
        </w:rPr>
      </w:pPr>
      <w:r>
        <w:rPr>
          <w:rFonts w:hint="default" w:ascii="Times New Roman" w:hAnsi="Times New Roman" w:cs="Times New Roman"/>
        </w:rPr>
        <w:t>农业部2634号公告—2017 饲料原料目录</w:t>
      </w:r>
    </w:p>
    <w:p w14:paraId="3835A05A">
      <w:pPr>
        <w:pStyle w:val="233"/>
        <w:spacing w:line="360" w:lineRule="auto"/>
        <w:jc w:val="left"/>
        <w:rPr>
          <w:rFonts w:hint="default" w:ascii="Times New Roman" w:hAnsi="Times New Roman" w:cs="Times New Roman"/>
        </w:rPr>
      </w:pPr>
      <w:r>
        <w:rPr>
          <w:rFonts w:hint="default" w:ascii="Times New Roman" w:hAnsi="Times New Roman" w:cs="Times New Roman"/>
        </w:rPr>
        <w:t>农业农村部22号公告—2018 饲料原料目录</w:t>
      </w:r>
    </w:p>
    <w:p w14:paraId="7C557E79">
      <w:pPr>
        <w:pStyle w:val="233"/>
        <w:spacing w:line="360" w:lineRule="auto"/>
        <w:jc w:val="left"/>
        <w:rPr>
          <w:rFonts w:hint="default" w:ascii="Times New Roman" w:hAnsi="Times New Roman" w:cs="Times New Roman"/>
        </w:rPr>
      </w:pPr>
      <w:r>
        <w:rPr>
          <w:rFonts w:hint="default" w:ascii="Times New Roman" w:hAnsi="Times New Roman" w:cs="Times New Roman"/>
        </w:rPr>
        <w:t>农业农村部356号公告—2020 饲料原料目录</w:t>
      </w:r>
    </w:p>
    <w:p w14:paraId="76E1E9BB">
      <w:pPr>
        <w:pStyle w:val="233"/>
        <w:spacing w:line="360" w:lineRule="auto"/>
        <w:jc w:val="left"/>
        <w:rPr>
          <w:rFonts w:hint="default" w:ascii="Times New Roman" w:hAnsi="Times New Roman" w:cs="Times New Roman"/>
        </w:rPr>
      </w:pPr>
      <w:r>
        <w:rPr>
          <w:rFonts w:hint="default" w:ascii="Times New Roman" w:hAnsi="Times New Roman" w:cs="Times New Roman"/>
        </w:rPr>
        <w:t>农业部2045号公告—2013 饲料添加剂目录</w:t>
      </w:r>
    </w:p>
    <w:p w14:paraId="53D09BDA">
      <w:pPr>
        <w:pStyle w:val="233"/>
        <w:spacing w:line="360" w:lineRule="auto"/>
        <w:jc w:val="left"/>
        <w:rPr>
          <w:rFonts w:hint="default" w:ascii="Times New Roman" w:hAnsi="Times New Roman" w:cs="Times New Roman"/>
        </w:rPr>
      </w:pPr>
      <w:r>
        <w:rPr>
          <w:rFonts w:hint="default" w:ascii="Times New Roman" w:hAnsi="Times New Roman" w:cs="Times New Roman"/>
        </w:rPr>
        <w:t>农业部2134号公告—2014 饲料添加剂目录</w:t>
      </w:r>
    </w:p>
    <w:p w14:paraId="04F7C9D9">
      <w:pPr>
        <w:pStyle w:val="233"/>
        <w:spacing w:line="360" w:lineRule="auto"/>
        <w:jc w:val="left"/>
        <w:rPr>
          <w:rFonts w:hint="default" w:ascii="Times New Roman" w:hAnsi="Times New Roman" w:cs="Times New Roman"/>
        </w:rPr>
      </w:pPr>
      <w:r>
        <w:rPr>
          <w:rFonts w:hint="default" w:ascii="Times New Roman" w:hAnsi="Times New Roman" w:cs="Times New Roman"/>
        </w:rPr>
        <w:t>农业农村部21号公告—2018 饲料添加剂目录</w:t>
      </w:r>
    </w:p>
    <w:p w14:paraId="31074088">
      <w:pPr>
        <w:pStyle w:val="233"/>
        <w:spacing w:line="360" w:lineRule="auto"/>
        <w:jc w:val="left"/>
        <w:rPr>
          <w:rFonts w:hint="default" w:ascii="Times New Roman" w:hAnsi="Times New Roman" w:cs="Times New Roman"/>
        </w:rPr>
      </w:pPr>
      <w:r>
        <w:rPr>
          <w:rFonts w:hint="default" w:ascii="Times New Roman" w:hAnsi="Times New Roman" w:cs="Times New Roman"/>
        </w:rPr>
        <w:t>农业农村部53号公告—2018 饲料添加剂目录</w:t>
      </w:r>
    </w:p>
    <w:p w14:paraId="7E436BCE">
      <w:pPr>
        <w:pStyle w:val="233"/>
        <w:spacing w:line="360" w:lineRule="auto"/>
        <w:jc w:val="left"/>
        <w:rPr>
          <w:rFonts w:hint="default" w:ascii="Times New Roman" w:hAnsi="Times New Roman" w:cs="Times New Roman"/>
        </w:rPr>
      </w:pPr>
      <w:r>
        <w:rPr>
          <w:rFonts w:hint="default" w:ascii="Times New Roman" w:hAnsi="Times New Roman" w:cs="Times New Roman"/>
        </w:rPr>
        <w:t>农业农村部356号公告—2020 饲料添加剂目录</w:t>
      </w:r>
    </w:p>
    <w:p w14:paraId="531B865B">
      <w:pPr>
        <w:pStyle w:val="233"/>
        <w:spacing w:line="360" w:lineRule="auto"/>
        <w:jc w:val="left"/>
        <w:rPr>
          <w:rFonts w:hint="default" w:ascii="Times New Roman" w:hAnsi="Times New Roman" w:cs="Times New Roman"/>
        </w:rPr>
      </w:pPr>
      <w:r>
        <w:rPr>
          <w:rFonts w:hint="default" w:ascii="Times New Roman" w:hAnsi="Times New Roman" w:cs="Times New Roman"/>
        </w:rPr>
        <w:t>农业农村部1231号公告—2009 饲料添加剂目录</w:t>
      </w:r>
    </w:p>
    <w:bookmarkEnd w:id="49"/>
    <w:p w14:paraId="75F7D7FC">
      <w:pPr>
        <w:pStyle w:val="58"/>
        <w:ind w:firstLine="420"/>
      </w:pPr>
      <w:bookmarkStart w:id="51" w:name="BookMark8"/>
      <w:r>
        <w:rPr>
          <w:rFonts w:hint="eastAsia"/>
        </w:rPr>
        <w:drawing>
          <wp:inline distT="0" distB="0" distL="0" distR="0">
            <wp:extent cx="1485900" cy="317500"/>
            <wp:effectExtent l="0" t="0" r="0" b="6350"/>
            <wp:docPr id="716432074" name="图片 3"/>
            <wp:cNvGraphicFramePr/>
            <a:graphic xmlns:a="http://schemas.openxmlformats.org/drawingml/2006/main">
              <a:graphicData uri="http://schemas.openxmlformats.org/drawingml/2006/picture">
                <pic:pic xmlns:pic="http://schemas.openxmlformats.org/drawingml/2006/picture">
                  <pic:nvPicPr>
                    <pic:cNvPr id="716432074"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1"/>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C6F24">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435C">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3B41C">
    <w:pPr>
      <w:pStyle w:val="54"/>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F1FAB">
    <w:pPr>
      <w:pStyle w:val="20"/>
      <w:wordWrap w:val="0"/>
      <w:jc w:val="right"/>
      <w:rPr>
        <w:rFonts w:ascii="黑体" w:hAnsi="黑体" w:eastAsia="黑体"/>
      </w:rPr>
    </w:pPr>
    <w:r>
      <w:rPr>
        <w:rFonts w:ascii="黑体" w:hAnsi="黑体" w:eastAsia="黑体"/>
      </w:rPr>
      <mc:AlternateContent>
        <mc:Choice Requires="wps">
          <w:drawing>
            <wp:anchor distT="0" distB="0" distL="0" distR="0" simplePos="0" relativeHeight="251661312" behindDoc="0" locked="0" layoutInCell="1" allowOverlap="1">
              <wp:simplePos x="0" y="0"/>
              <wp:positionH relativeFrom="page">
                <wp:align>left</wp:align>
              </wp:positionH>
              <wp:positionV relativeFrom="page">
                <wp:align>top</wp:align>
              </wp:positionV>
              <wp:extent cx="443865" cy="443865"/>
              <wp:effectExtent l="0" t="0" r="0" b="12700"/>
              <wp:wrapNone/>
              <wp:docPr id="2066563121" name="文本框 3" descr="Proprietar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890525">
                          <w:pPr>
                            <w:rPr>
                              <w:rFonts w:eastAsia="Calibri" w:cs="Calibri"/>
                              <w:color w:val="00B294"/>
                              <w:sz w:val="24"/>
                              <w:szCs w:val="24"/>
                            </w:rPr>
                          </w:pPr>
                          <w:r>
                            <w:rPr>
                              <w:rFonts w:eastAsia="Calibri" w:cs="Calibri"/>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文本框 3" o:spid="_x0000_s1026" o:spt="202" alt="Proprietary" type="#_x0000_t202" style="position:absolute;left:0pt;height:34.95pt;width:34.95pt;mso-position-horizontal:left;mso-position-horizontal-relative:page;mso-position-vertical:top;mso-position-vertical-relative:page;mso-wrap-style:none;z-index:251661312;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PfgNNIAAAADAQAADwAAAAAAAAABACAAAAAiAAAAZHJz&#10;L2Rvd25yZXYueG1sUEsBAhQAFAAAAAgAh07iQLe08YVDAgAAcQQAAA4AAAAAAAAAAQAgAAAAIQEA&#10;AGRycy9lMm9Eb2MueG1sUEsFBgAAAAAGAAYAWQEAANYFAAAAAA==&#10;">
              <v:fill on="f" focussize="0,0"/>
              <v:stroke on="f"/>
              <v:imagedata o:title=""/>
              <o:lock v:ext="edit" aspectratio="f"/>
              <v:textbox inset="20pt,15pt,0mm,0mm" style="mso-fit-shape-to-text:t;">
                <w:txbxContent>
                  <w:p w14:paraId="14890525">
                    <w:pPr>
                      <w:rPr>
                        <w:rFonts w:eastAsia="Calibri" w:cs="Calibri"/>
                        <w:color w:val="00B294"/>
                        <w:sz w:val="24"/>
                        <w:szCs w:val="24"/>
                      </w:rPr>
                    </w:pPr>
                    <w:r>
                      <w:rPr>
                        <w:rFonts w:eastAsia="Calibri" w:cs="Calibri"/>
                        <w:color w:val="00B294"/>
                        <w:sz w:val="24"/>
                        <w:szCs w:val="24"/>
                      </w:rPr>
                      <w:t>Proprietary</w:t>
                    </w:r>
                  </w:p>
                </w:txbxContent>
              </v:textbox>
            </v:shape>
          </w:pict>
        </mc:Fallback>
      </mc:AlternateContent>
    </w: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0308">
    <w:pPr>
      <w:pStyle w:val="20"/>
    </w:pPr>
    <w: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top</wp:align>
              </wp:positionV>
              <wp:extent cx="443865" cy="443865"/>
              <wp:effectExtent l="0" t="0" r="0" b="12700"/>
              <wp:wrapNone/>
              <wp:docPr id="1795698201" name="文本框 2" descr="Proprietar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AA78E">
                          <w:pPr>
                            <w:rPr>
                              <w:rFonts w:eastAsia="Calibri" w:cs="Calibri"/>
                              <w:color w:val="00B294"/>
                              <w:sz w:val="24"/>
                              <w:szCs w:val="24"/>
                            </w:rPr>
                          </w:pPr>
                          <w:r>
                            <w:rPr>
                              <w:rFonts w:eastAsia="Calibri" w:cs="Calibri"/>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文本框 2" o:spid="_x0000_s1026" o:spt="202" alt="Proprietary" type="#_x0000_t202" style="position:absolute;left:0pt;height:34.95pt;width:34.95pt;mso-position-horizontal:left;mso-position-horizontal-relative:page;mso-position-vertical:top;mso-position-vertical-relative:page;mso-wrap-style:none;z-index:251660288;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PfgNNIAAAADAQAADwAAAAAAAAABACAAAAAiAAAAZHJz&#10;L2Rvd25yZXYueG1sUEsBAhQAFAAAAAgAh07iQAevSmpDAgAAcQQAAA4AAAAAAAAAAQAgAAAAIQEA&#10;AGRycy9lMm9Eb2MueG1sUEsFBgAAAAAGAAYAWQEAANYFAAAAAA==&#10;">
              <v:fill on="f" focussize="0,0"/>
              <v:stroke on="f"/>
              <v:imagedata o:title=""/>
              <o:lock v:ext="edit" aspectratio="f"/>
              <v:textbox inset="20pt,15pt,0mm,0mm" style="mso-fit-shape-to-text:t;">
                <w:txbxContent>
                  <w:p w14:paraId="284AA78E">
                    <w:pPr>
                      <w:rPr>
                        <w:rFonts w:eastAsia="Calibri" w:cs="Calibri"/>
                        <w:color w:val="00B294"/>
                        <w:sz w:val="24"/>
                        <w:szCs w:val="24"/>
                      </w:rPr>
                    </w:pPr>
                    <w:r>
                      <w:rPr>
                        <w:rFonts w:eastAsia="Calibri" w:cs="Calibri"/>
                        <w:color w:val="00B294"/>
                        <w:sz w:val="24"/>
                        <w:szCs w:val="24"/>
                      </w:rPr>
                      <w:t>Proprietary</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90326">
    <w:pPr>
      <w:pStyle w:val="20"/>
      <w:jc w:val="both"/>
      <w:rPr>
        <w:sz w:val="2"/>
        <w:szCs w:val="2"/>
      </w:rPr>
    </w:pPr>
    <w:r>
      <w:rPr>
        <w:sz w:val="2"/>
        <w:szCs w:val="2"/>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top</wp:align>
              </wp:positionV>
              <wp:extent cx="443865" cy="443865"/>
              <wp:effectExtent l="0" t="0" r="0" b="12700"/>
              <wp:wrapNone/>
              <wp:docPr id="1086499794" name="文本框 1" descr="Proprietar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E009F">
                          <w:pPr>
                            <w:rPr>
                              <w:rFonts w:eastAsia="Calibri" w:cs="Calibri"/>
                              <w:color w:val="00B294"/>
                              <w:sz w:val="24"/>
                              <w:szCs w:val="24"/>
                            </w:rPr>
                          </w:pPr>
                          <w:r>
                            <w:rPr>
                              <w:rFonts w:eastAsia="Calibri" w:cs="Calibri"/>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文本框 1" o:spid="_x0000_s1026" o:spt="202" alt="Proprietary" type="#_x0000_t202" style="position:absolute;left:0pt;height:34.95pt;width:34.95pt;mso-position-horizontal:left;mso-position-horizontal-relative:page;mso-position-vertical:top;mso-position-vertical-relative:page;mso-wrap-style:none;z-index:251659264;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j34DTSAAAAAwEAAA8AAAAAAAAAAQAgAAAAIgAAAGRy&#10;cy9kb3ducmV2LnhtbFBLAQIUABQAAAAIAIdO4kA/E19PRAIAAHEEAAAOAAAAAAAAAAEAIAAAACEB&#10;AABkcnMvZTJvRG9jLnhtbFBLBQYAAAAABgAGAFkBAADXBQAAAAA=&#10;">
              <v:fill on="f" focussize="0,0"/>
              <v:stroke on="f"/>
              <v:imagedata o:title=""/>
              <o:lock v:ext="edit" aspectratio="f"/>
              <v:textbox inset="20pt,15pt,0mm,0mm" style="mso-fit-shape-to-text:t;">
                <w:txbxContent>
                  <w:p w14:paraId="5EBE009F">
                    <w:pPr>
                      <w:rPr>
                        <w:rFonts w:eastAsia="Calibri" w:cs="Calibri"/>
                        <w:color w:val="00B294"/>
                        <w:sz w:val="24"/>
                        <w:szCs w:val="24"/>
                      </w:rPr>
                    </w:pPr>
                    <w:r>
                      <w:rPr>
                        <w:rFonts w:eastAsia="Calibri" w:cs="Calibri"/>
                        <w:color w:val="00B294"/>
                        <w:sz w:val="24"/>
                        <w:szCs w:val="24"/>
                      </w:rPr>
                      <w:t>Proprietary</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15704">
    <w:pPr>
      <w:pStyle w:val="63"/>
    </w:pPr>
    <w:r>
      <mc:AlternateContent>
        <mc:Choice Requires="wps">
          <w:drawing>
            <wp:anchor distT="0" distB="0" distL="0" distR="0" simplePos="0" relativeHeight="251664384" behindDoc="0" locked="0" layoutInCell="1" allowOverlap="1">
              <wp:simplePos x="0" y="0"/>
              <wp:positionH relativeFrom="page">
                <wp:align>left</wp:align>
              </wp:positionH>
              <wp:positionV relativeFrom="page">
                <wp:align>top</wp:align>
              </wp:positionV>
              <wp:extent cx="443865" cy="443865"/>
              <wp:effectExtent l="0" t="0" r="0" b="12700"/>
              <wp:wrapNone/>
              <wp:docPr id="1660721429" name="文本框 6" descr="Proprietar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302E5">
                          <w:pPr>
                            <w:rPr>
                              <w:rFonts w:eastAsia="Calibri" w:cs="Calibri"/>
                              <w:color w:val="00B294"/>
                              <w:sz w:val="24"/>
                              <w:szCs w:val="24"/>
                            </w:rPr>
                          </w:pPr>
                          <w:r>
                            <w:rPr>
                              <w:rFonts w:eastAsia="Calibri" w:cs="Calibri"/>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文本框 6" o:spid="_x0000_s1026" o:spt="202" alt="Proprietary" type="#_x0000_t202" style="position:absolute;left:0pt;height:34.95pt;width:34.95pt;mso-position-horizontal:left;mso-position-horizontal-relative:page;mso-position-vertical:top;mso-position-vertical-relative:page;mso-wrap-style:none;z-index:251664384;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j34DTSAAAAAwEAAA8AAAAAAAAAAQAgAAAAIgAAAGRy&#10;cy9kb3ducmV2LnhtbFBLAQIUABQAAAAIAIdO4kC8c+exRAIAAHEEAAAOAAAAAAAAAAEAIAAAACEB&#10;AABkcnMvZTJvRG9jLnhtbFBLBQYAAAAABgAGAFkBAADXBQAAAAA=&#10;">
              <v:fill on="f" focussize="0,0"/>
              <v:stroke on="f"/>
              <v:imagedata o:title=""/>
              <o:lock v:ext="edit" aspectratio="f"/>
              <v:textbox inset="20pt,15pt,0mm,0mm" style="mso-fit-shape-to-text:t;">
                <w:txbxContent>
                  <w:p w14:paraId="051302E5">
                    <w:pPr>
                      <w:rPr>
                        <w:rFonts w:eastAsia="Calibri" w:cs="Calibri"/>
                        <w:color w:val="00B294"/>
                        <w:sz w:val="24"/>
                        <w:szCs w:val="24"/>
                      </w:rPr>
                    </w:pPr>
                    <w:r>
                      <w:rPr>
                        <w:rFonts w:eastAsia="Calibri" w:cs="Calibri"/>
                        <w:color w:val="00B294"/>
                        <w:sz w:val="24"/>
                        <w:szCs w:val="24"/>
                      </w:rPr>
                      <w:t>Proprietary</w:t>
                    </w:r>
                  </w:p>
                </w:txbxContent>
              </v:textbox>
            </v:shape>
          </w:pict>
        </mc:Fallback>
      </mc:AlternateContent>
    </w:r>
    <w:r>
      <w:fldChar w:fldCharType="begin"/>
    </w:r>
    <w:r>
      <w:instrText xml:space="preserve"> STYLEREF  标准文件_文件编号  \* MERGEFORMAT </w:instrText>
    </w:r>
    <w:r>
      <w:fldChar w:fldCharType="separate"/>
    </w:r>
    <w:r>
      <w:t>T/SCSF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24230">
    <w:pPr>
      <w:pStyle w:val="20"/>
      <w:jc w:val="right"/>
    </w:pPr>
    <w:r>
      <mc:AlternateContent>
        <mc:Choice Requires="wps">
          <w:drawing>
            <wp:anchor distT="0" distB="0" distL="0" distR="0" simplePos="0" relativeHeight="251663360" behindDoc="0" locked="0" layoutInCell="1" allowOverlap="1">
              <wp:simplePos x="0" y="0"/>
              <wp:positionH relativeFrom="page">
                <wp:align>left</wp:align>
              </wp:positionH>
              <wp:positionV relativeFrom="page">
                <wp:align>top</wp:align>
              </wp:positionV>
              <wp:extent cx="443865" cy="443865"/>
              <wp:effectExtent l="0" t="0" r="0" b="12700"/>
              <wp:wrapNone/>
              <wp:docPr id="1715324279" name="文本框 5" descr="Proprietar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AE286">
                          <w:pPr>
                            <w:rPr>
                              <w:rFonts w:eastAsia="Calibri" w:cs="Calibri"/>
                              <w:color w:val="00B294"/>
                              <w:sz w:val="24"/>
                              <w:szCs w:val="24"/>
                            </w:rPr>
                          </w:pPr>
                          <w:r>
                            <w:rPr>
                              <w:rFonts w:eastAsia="Calibri" w:cs="Calibri"/>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文本框 5" o:spid="_x0000_s1026" o:spt="202" alt="Proprietary" type="#_x0000_t202" style="position:absolute;left:0pt;height:34.95pt;width:34.95pt;mso-position-horizontal:left;mso-position-horizontal-relative:page;mso-position-vertical:top;mso-position-vertical-relative:page;mso-wrap-style:none;z-index:251663360;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j34DTSAAAAAwEAAA8AAAAAAAAAAQAgAAAAIgAAAGRy&#10;cy9kb3ducmV2LnhtbFBLAQIUABQAAAAIAIdO4kD+DumdRAIAAHEEAAAOAAAAAAAAAAEAIAAAACEB&#10;AABkcnMvZTJvRG9jLnhtbFBLBQYAAAAABgAGAFkBAADXBQAAAAA=&#10;">
              <v:fill on="f" focussize="0,0"/>
              <v:stroke on="f"/>
              <v:imagedata o:title=""/>
              <o:lock v:ext="edit" aspectratio="f"/>
              <v:textbox inset="20pt,15pt,0mm,0mm" style="mso-fit-shape-to-text:t;">
                <w:txbxContent>
                  <w:p w14:paraId="774AE286">
                    <w:pPr>
                      <w:rPr>
                        <w:rFonts w:eastAsia="Calibri" w:cs="Calibri"/>
                        <w:color w:val="00B294"/>
                        <w:sz w:val="24"/>
                        <w:szCs w:val="24"/>
                      </w:rPr>
                    </w:pPr>
                    <w:r>
                      <w:rPr>
                        <w:rFonts w:eastAsia="Calibri" w:cs="Calibri"/>
                        <w:color w:val="00B294"/>
                        <w:sz w:val="24"/>
                        <w:szCs w:val="24"/>
                      </w:rPr>
                      <w:t>Proprietary</w:t>
                    </w:r>
                  </w:p>
                </w:txbxContent>
              </v:textbox>
            </v:shape>
          </w:pict>
        </mc:Fallback>
      </mc:AlternateContent>
    </w:r>
    <w:r>
      <w:fldChar w:fldCharType="begin"/>
    </w:r>
    <w:r>
      <w:instrText xml:space="preserve"> STYLEREF  标准文件_文件编号  \* MERGEFORMAT </w:instrText>
    </w:r>
    <w:r>
      <w:fldChar w:fldCharType="separate"/>
    </w:r>
    <w:r>
      <w:t>T/SCSF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1F19A">
    <w:pPr>
      <w:pStyle w:val="20"/>
    </w:pPr>
    <w: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top</wp:align>
              </wp:positionV>
              <wp:extent cx="443865" cy="443865"/>
              <wp:effectExtent l="0" t="0" r="0" b="12700"/>
              <wp:wrapNone/>
              <wp:docPr id="1485347682" name="文本框 4" descr="Proprietar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94124">
                          <w:pPr>
                            <w:rPr>
                              <w:rFonts w:eastAsia="Calibri" w:cs="Calibri"/>
                              <w:color w:val="00B294"/>
                              <w:sz w:val="24"/>
                              <w:szCs w:val="24"/>
                            </w:rPr>
                          </w:pPr>
                          <w:r>
                            <w:rPr>
                              <w:rFonts w:eastAsia="Calibri" w:cs="Calibri"/>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文本框 4" o:spid="_x0000_s1026" o:spt="202" alt="Proprietary" type="#_x0000_t202" style="position:absolute;left:0pt;height:34.95pt;width:34.95pt;mso-position-horizontal:left;mso-position-horizontal-relative:page;mso-position-vertical:top;mso-position-vertical-relative:page;mso-wrap-style:none;z-index:251662336;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PfgNNIAAAADAQAADwAAAAAAAAABACAAAAAiAAAAZHJz&#10;L2Rvd25yZXYueG1sUEsBAhQAFAAAAAgAh07iQPKoGQdDAgAAcQQAAA4AAAAAAAAAAQAgAAAAIQEA&#10;AGRycy9lMm9Eb2MueG1sUEsFBgAAAAAGAAYAWQEAANYFAAAAAA==&#10;">
              <v:fill on="f" focussize="0,0"/>
              <v:stroke on="f"/>
              <v:imagedata o:title=""/>
              <o:lock v:ext="edit" aspectratio="f"/>
              <v:textbox inset="20pt,15pt,0mm,0mm" style="mso-fit-shape-to-text:t;">
                <w:txbxContent>
                  <w:p w14:paraId="5DB94124">
                    <w:pPr>
                      <w:rPr>
                        <w:rFonts w:eastAsia="Calibri" w:cs="Calibri"/>
                        <w:color w:val="00B294"/>
                        <w:sz w:val="24"/>
                        <w:szCs w:val="24"/>
                      </w:rPr>
                    </w:pPr>
                    <w:r>
                      <w:rPr>
                        <w:rFonts w:eastAsia="Calibri" w:cs="Calibri"/>
                        <w:color w:val="00B294"/>
                        <w:sz w:val="24"/>
                        <w:szCs w:val="24"/>
                      </w:rPr>
                      <w:t>Proprietary</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4B147"/>
    <w:multiLevelType w:val="singleLevel"/>
    <w:tmpl w:val="8364B147"/>
    <w:lvl w:ilvl="0" w:tentative="0">
      <w:start w:val="2"/>
      <w:numFmt w:val="decimal"/>
      <w:suff w:val="space"/>
      <w:lvlText w:val="%1."/>
      <w:lvlJc w:val="left"/>
    </w:lvl>
  </w:abstractNum>
  <w:abstractNum w:abstractNumId="1">
    <w:nsid w:val="FF59FBAF"/>
    <w:multiLevelType w:val="singleLevel"/>
    <w:tmpl w:val="FF59FBAF"/>
    <w:lvl w:ilvl="0" w:tentative="0">
      <w:start w:val="1"/>
      <w:numFmt w:val="decimal"/>
      <w:suff w:val="space"/>
      <w:lvlText w:val="%1."/>
      <w:lvlJc w:val="left"/>
    </w:lvl>
  </w:abstractNum>
  <w:abstractNum w:abstractNumId="2">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795C5FE"/>
    <w:multiLevelType w:val="singleLevel"/>
    <w:tmpl w:val="1795C5FE"/>
    <w:lvl w:ilvl="0" w:tentative="0">
      <w:start w:val="1"/>
      <w:numFmt w:val="decimal"/>
      <w:suff w:val="space"/>
      <w:lvlText w:val="%1."/>
      <w:lvlJc w:val="left"/>
    </w:lvl>
  </w:abstractNum>
  <w:abstractNum w:abstractNumId="10">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1FC91163"/>
    <w:multiLevelType w:val="multilevel"/>
    <w:tmpl w:val="1FC91163"/>
    <w:lvl w:ilvl="0" w:tentative="0">
      <w:start w:val="1"/>
      <w:numFmt w:val="decimal"/>
      <w:pStyle w:val="23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42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2A8F7113"/>
    <w:multiLevelType w:val="multilevel"/>
    <w:tmpl w:val="2A8F7113"/>
    <w:lvl w:ilvl="0" w:tentative="0">
      <w:start w:val="1"/>
      <w:numFmt w:val="upperLetter"/>
      <w:pStyle w:val="235"/>
      <w:suff w:val="space"/>
      <w:lvlText w:val="%1"/>
      <w:lvlJc w:val="left"/>
      <w:pPr>
        <w:ind w:left="623" w:hanging="425"/>
      </w:pPr>
      <w:rPr>
        <w:rFonts w:hint="eastAsia"/>
      </w:rPr>
    </w:lvl>
    <w:lvl w:ilvl="1" w:tentative="0">
      <w:start w:val="1"/>
      <w:numFmt w:val="decimal"/>
      <w:pStyle w:val="23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5">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4D65DD08"/>
    <w:multiLevelType w:val="singleLevel"/>
    <w:tmpl w:val="4D65DD08"/>
    <w:lvl w:ilvl="0" w:tentative="0">
      <w:start w:val="1"/>
      <w:numFmt w:val="decimal"/>
      <w:suff w:val="space"/>
      <w:lvlText w:val="%1."/>
      <w:lvlJc w:val="left"/>
    </w:lvl>
  </w:abstractNum>
  <w:abstractNum w:abstractNumId="21">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1">
    <w:nsid w:val="6ABAC210"/>
    <w:multiLevelType w:val="singleLevel"/>
    <w:tmpl w:val="6ABAC210"/>
    <w:lvl w:ilvl="0" w:tentative="0">
      <w:start w:val="1"/>
      <w:numFmt w:val="decimal"/>
      <w:suff w:val="space"/>
      <w:lvlText w:val="%1."/>
      <w:lvlJc w:val="left"/>
    </w:lvl>
  </w:abstractNum>
  <w:abstractNum w:abstractNumId="32">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4"/>
  </w:num>
  <w:num w:numId="3">
    <w:abstractNumId w:val="7"/>
  </w:num>
  <w:num w:numId="4">
    <w:abstractNumId w:val="29"/>
  </w:num>
  <w:num w:numId="5">
    <w:abstractNumId w:val="24"/>
  </w:num>
  <w:num w:numId="6">
    <w:abstractNumId w:val="18"/>
  </w:num>
  <w:num w:numId="7">
    <w:abstractNumId w:val="11"/>
  </w:num>
  <w:num w:numId="8">
    <w:abstractNumId w:val="5"/>
  </w:num>
  <w:num w:numId="9">
    <w:abstractNumId w:val="12"/>
  </w:num>
  <w:num w:numId="10">
    <w:abstractNumId w:val="22"/>
  </w:num>
  <w:num w:numId="11">
    <w:abstractNumId w:val="32"/>
  </w:num>
  <w:num w:numId="12">
    <w:abstractNumId w:val="16"/>
  </w:num>
  <w:num w:numId="13">
    <w:abstractNumId w:val="17"/>
  </w:num>
  <w:num w:numId="14">
    <w:abstractNumId w:val="10"/>
  </w:num>
  <w:num w:numId="15">
    <w:abstractNumId w:val="25"/>
  </w:num>
  <w:num w:numId="16">
    <w:abstractNumId w:val="27"/>
  </w:num>
  <w:num w:numId="17">
    <w:abstractNumId w:val="23"/>
  </w:num>
  <w:num w:numId="18">
    <w:abstractNumId w:val="36"/>
  </w:num>
  <w:num w:numId="19">
    <w:abstractNumId w:val="21"/>
  </w:num>
  <w:num w:numId="20">
    <w:abstractNumId w:val="3"/>
  </w:num>
  <w:num w:numId="21">
    <w:abstractNumId w:val="15"/>
  </w:num>
  <w:num w:numId="22">
    <w:abstractNumId w:val="37"/>
  </w:num>
  <w:num w:numId="23">
    <w:abstractNumId w:val="26"/>
  </w:num>
  <w:num w:numId="24">
    <w:abstractNumId w:val="8"/>
  </w:num>
  <w:num w:numId="25">
    <w:abstractNumId w:val="33"/>
  </w:num>
  <w:num w:numId="26">
    <w:abstractNumId w:val="35"/>
  </w:num>
  <w:num w:numId="27">
    <w:abstractNumId w:val="4"/>
  </w:num>
  <w:num w:numId="28">
    <w:abstractNumId w:val="6"/>
  </w:num>
  <w:num w:numId="29">
    <w:abstractNumId w:val="19"/>
  </w:num>
  <w:num w:numId="30">
    <w:abstractNumId w:val="30"/>
  </w:num>
  <w:num w:numId="31">
    <w:abstractNumId w:val="28"/>
  </w:num>
  <w:num w:numId="32">
    <w:abstractNumId w:val="14"/>
  </w:num>
  <w:num w:numId="33">
    <w:abstractNumId w:val="13"/>
  </w:num>
  <w:num w:numId="34">
    <w:abstractNumId w:val="20"/>
  </w:num>
  <w:num w:numId="35">
    <w:abstractNumId w:val="1"/>
  </w:num>
  <w:num w:numId="36">
    <w:abstractNumId w:val="0"/>
  </w:num>
  <w:num w:numId="37">
    <w:abstractNumId w:val="3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attachedTemplate r:id="rId1"/>
  <w:documentProtection w:edit="forms" w:enforcement="1" w:cryptProviderType="rsaAES" w:cryptAlgorithmClass="hash" w:cryptAlgorithmType="typeAny" w:cryptAlgorithmSid="14" w:cryptSpinCount="100000" w:hash="DDLdJJclNXXabE2c5vYYY8qfGO5IiLfuFWlXwZgs+31DaYV7Z4GKda2etZc9TdQMW69JLLVo6VJY+23A5ogDgA==" w:salt="X40L20XM91EBIN9quHvoV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wNGUxMmI1MzNmZWZjZTE1MmMwOTVlNzM4NmUwZDgifQ=="/>
  </w:docVars>
  <w:rsids>
    <w:rsidRoot w:val="00CB256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610"/>
    <w:rsid w:val="00083D2C"/>
    <w:rsid w:val="0008524F"/>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0B9"/>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3B1"/>
    <w:rsid w:val="000D1795"/>
    <w:rsid w:val="000D329A"/>
    <w:rsid w:val="000D4B9C"/>
    <w:rsid w:val="000D4EB6"/>
    <w:rsid w:val="000D753B"/>
    <w:rsid w:val="000E4C9E"/>
    <w:rsid w:val="000E6507"/>
    <w:rsid w:val="000E665F"/>
    <w:rsid w:val="000E6FD7"/>
    <w:rsid w:val="000E7144"/>
    <w:rsid w:val="000F06E1"/>
    <w:rsid w:val="000F0E3C"/>
    <w:rsid w:val="000F19D5"/>
    <w:rsid w:val="000F4050"/>
    <w:rsid w:val="000F4AEA"/>
    <w:rsid w:val="000F67E9"/>
    <w:rsid w:val="00104926"/>
    <w:rsid w:val="00113B1E"/>
    <w:rsid w:val="0011711C"/>
    <w:rsid w:val="00124E4F"/>
    <w:rsid w:val="00125A32"/>
    <w:rsid w:val="001260B7"/>
    <w:rsid w:val="001265CB"/>
    <w:rsid w:val="001321C6"/>
    <w:rsid w:val="001325C4"/>
    <w:rsid w:val="00133010"/>
    <w:rsid w:val="001338EE"/>
    <w:rsid w:val="00133AAE"/>
    <w:rsid w:val="00135323"/>
    <w:rsid w:val="001356C4"/>
    <w:rsid w:val="00137565"/>
    <w:rsid w:val="00141114"/>
    <w:rsid w:val="00142969"/>
    <w:rsid w:val="00144641"/>
    <w:rsid w:val="001446C2"/>
    <w:rsid w:val="001457E7"/>
    <w:rsid w:val="00145D9D"/>
    <w:rsid w:val="00146388"/>
    <w:rsid w:val="001529E5"/>
    <w:rsid w:val="00152FB3"/>
    <w:rsid w:val="0015365F"/>
    <w:rsid w:val="00153C7E"/>
    <w:rsid w:val="00156B25"/>
    <w:rsid w:val="00156E1A"/>
    <w:rsid w:val="00157894"/>
    <w:rsid w:val="00157B55"/>
    <w:rsid w:val="00161716"/>
    <w:rsid w:val="001642FA"/>
    <w:rsid w:val="0016455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47B0"/>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436"/>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1F2"/>
    <w:rsid w:val="00263D25"/>
    <w:rsid w:val="002643C3"/>
    <w:rsid w:val="00264A0C"/>
    <w:rsid w:val="00266EEB"/>
    <w:rsid w:val="00267EF4"/>
    <w:rsid w:val="00270CB8"/>
    <w:rsid w:val="00272B08"/>
    <w:rsid w:val="00281BB8"/>
    <w:rsid w:val="00281E9E"/>
    <w:rsid w:val="00282405"/>
    <w:rsid w:val="00285170"/>
    <w:rsid w:val="00285361"/>
    <w:rsid w:val="0028654C"/>
    <w:rsid w:val="00292D60"/>
    <w:rsid w:val="00293B30"/>
    <w:rsid w:val="00294D34"/>
    <w:rsid w:val="00294E3B"/>
    <w:rsid w:val="00296193"/>
    <w:rsid w:val="00296C66"/>
    <w:rsid w:val="00296EBE"/>
    <w:rsid w:val="002974E3"/>
    <w:rsid w:val="002A04A0"/>
    <w:rsid w:val="002A084B"/>
    <w:rsid w:val="002A1260"/>
    <w:rsid w:val="002A1589"/>
    <w:rsid w:val="002A1608"/>
    <w:rsid w:val="002A25DC"/>
    <w:rsid w:val="002A3AAB"/>
    <w:rsid w:val="002A3B0A"/>
    <w:rsid w:val="002A4CEA"/>
    <w:rsid w:val="002A5977"/>
    <w:rsid w:val="002A5A13"/>
    <w:rsid w:val="002A757F"/>
    <w:rsid w:val="002A7F44"/>
    <w:rsid w:val="002B0C40"/>
    <w:rsid w:val="002B1966"/>
    <w:rsid w:val="002B4508"/>
    <w:rsid w:val="002B5779"/>
    <w:rsid w:val="002B5A0D"/>
    <w:rsid w:val="002B7332"/>
    <w:rsid w:val="002B7F51"/>
    <w:rsid w:val="002C09E7"/>
    <w:rsid w:val="002C1E06"/>
    <w:rsid w:val="002C3F07"/>
    <w:rsid w:val="002C5278"/>
    <w:rsid w:val="002C77CA"/>
    <w:rsid w:val="002C7EBB"/>
    <w:rsid w:val="002D06C1"/>
    <w:rsid w:val="002D42B5"/>
    <w:rsid w:val="002D4F1A"/>
    <w:rsid w:val="002D6EC6"/>
    <w:rsid w:val="002D79AC"/>
    <w:rsid w:val="002E039D"/>
    <w:rsid w:val="002E18EB"/>
    <w:rsid w:val="002E220A"/>
    <w:rsid w:val="002E4D5A"/>
    <w:rsid w:val="002E6326"/>
    <w:rsid w:val="002F2EFE"/>
    <w:rsid w:val="002F30E0"/>
    <w:rsid w:val="002F35E4"/>
    <w:rsid w:val="002F3730"/>
    <w:rsid w:val="002F38E1"/>
    <w:rsid w:val="002F7AF6"/>
    <w:rsid w:val="00300E63"/>
    <w:rsid w:val="00302F5F"/>
    <w:rsid w:val="00303EE0"/>
    <w:rsid w:val="0030441D"/>
    <w:rsid w:val="00306063"/>
    <w:rsid w:val="003075C3"/>
    <w:rsid w:val="0031257D"/>
    <w:rsid w:val="00313B85"/>
    <w:rsid w:val="00317988"/>
    <w:rsid w:val="003221B4"/>
    <w:rsid w:val="0032258D"/>
    <w:rsid w:val="00322E62"/>
    <w:rsid w:val="00324D13"/>
    <w:rsid w:val="00324EDD"/>
    <w:rsid w:val="003331E4"/>
    <w:rsid w:val="00333E1D"/>
    <w:rsid w:val="00336C64"/>
    <w:rsid w:val="00337162"/>
    <w:rsid w:val="00337ED6"/>
    <w:rsid w:val="0034194F"/>
    <w:rsid w:val="00344605"/>
    <w:rsid w:val="003454B8"/>
    <w:rsid w:val="003474AA"/>
    <w:rsid w:val="00350D1D"/>
    <w:rsid w:val="00352C83"/>
    <w:rsid w:val="00352F1A"/>
    <w:rsid w:val="0036107C"/>
    <w:rsid w:val="003615D2"/>
    <w:rsid w:val="00361CB4"/>
    <w:rsid w:val="0036429C"/>
    <w:rsid w:val="0036464B"/>
    <w:rsid w:val="00364A53"/>
    <w:rsid w:val="003654CB"/>
    <w:rsid w:val="00365AA9"/>
    <w:rsid w:val="00365F86"/>
    <w:rsid w:val="00365F87"/>
    <w:rsid w:val="00366E89"/>
    <w:rsid w:val="003705F4"/>
    <w:rsid w:val="00370D58"/>
    <w:rsid w:val="00371316"/>
    <w:rsid w:val="0037594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6DB"/>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509"/>
    <w:rsid w:val="003D262C"/>
    <w:rsid w:val="003D38C6"/>
    <w:rsid w:val="003D4073"/>
    <w:rsid w:val="003D483B"/>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437"/>
    <w:rsid w:val="00432DAA"/>
    <w:rsid w:val="00434305"/>
    <w:rsid w:val="00434A5E"/>
    <w:rsid w:val="00434AD5"/>
    <w:rsid w:val="00435DF7"/>
    <w:rsid w:val="0043741A"/>
    <w:rsid w:val="0044083F"/>
    <w:rsid w:val="00441AE7"/>
    <w:rsid w:val="00445574"/>
    <w:rsid w:val="004467FB"/>
    <w:rsid w:val="00452D6B"/>
    <w:rsid w:val="00454484"/>
    <w:rsid w:val="0045517B"/>
    <w:rsid w:val="00461595"/>
    <w:rsid w:val="004619CB"/>
    <w:rsid w:val="00463B77"/>
    <w:rsid w:val="00463C7B"/>
    <w:rsid w:val="004644A6"/>
    <w:rsid w:val="00465064"/>
    <w:rsid w:val="004659BD"/>
    <w:rsid w:val="00470775"/>
    <w:rsid w:val="004746B1"/>
    <w:rsid w:val="0047583F"/>
    <w:rsid w:val="00475DE8"/>
    <w:rsid w:val="00481C44"/>
    <w:rsid w:val="00483507"/>
    <w:rsid w:val="00484936"/>
    <w:rsid w:val="00485BD5"/>
    <w:rsid w:val="00485C89"/>
    <w:rsid w:val="00486BE3"/>
    <w:rsid w:val="004905E4"/>
    <w:rsid w:val="00490A89"/>
    <w:rsid w:val="00490AB4"/>
    <w:rsid w:val="00492F02"/>
    <w:rsid w:val="004939AE"/>
    <w:rsid w:val="004A12DF"/>
    <w:rsid w:val="004A1BA8"/>
    <w:rsid w:val="004A4B57"/>
    <w:rsid w:val="004A63FA"/>
    <w:rsid w:val="004A6A3D"/>
    <w:rsid w:val="004A7C83"/>
    <w:rsid w:val="004B0272"/>
    <w:rsid w:val="004B0827"/>
    <w:rsid w:val="004B2701"/>
    <w:rsid w:val="004B2759"/>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6238"/>
    <w:rsid w:val="004D7C42"/>
    <w:rsid w:val="004E0465"/>
    <w:rsid w:val="004E127B"/>
    <w:rsid w:val="004E1C0A"/>
    <w:rsid w:val="004E30C5"/>
    <w:rsid w:val="004E4AA5"/>
    <w:rsid w:val="004E4AEE"/>
    <w:rsid w:val="004E59E3"/>
    <w:rsid w:val="004E67C0"/>
    <w:rsid w:val="004F2FE8"/>
    <w:rsid w:val="004F391A"/>
    <w:rsid w:val="004F3CFB"/>
    <w:rsid w:val="004F6456"/>
    <w:rsid w:val="004F696E"/>
    <w:rsid w:val="004F6C71"/>
    <w:rsid w:val="00501139"/>
    <w:rsid w:val="0050363E"/>
    <w:rsid w:val="005039BC"/>
    <w:rsid w:val="005043BB"/>
    <w:rsid w:val="00504A3D"/>
    <w:rsid w:val="005050BA"/>
    <w:rsid w:val="00505767"/>
    <w:rsid w:val="005073F0"/>
    <w:rsid w:val="00510A7B"/>
    <w:rsid w:val="00512F6E"/>
    <w:rsid w:val="00513038"/>
    <w:rsid w:val="00514174"/>
    <w:rsid w:val="00516088"/>
    <w:rsid w:val="00516B0B"/>
    <w:rsid w:val="005220EC"/>
    <w:rsid w:val="00523F95"/>
    <w:rsid w:val="00524D65"/>
    <w:rsid w:val="00525B16"/>
    <w:rsid w:val="00530E34"/>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69C"/>
    <w:rsid w:val="00561475"/>
    <w:rsid w:val="00562308"/>
    <w:rsid w:val="0056487B"/>
    <w:rsid w:val="00564FB9"/>
    <w:rsid w:val="00565B68"/>
    <w:rsid w:val="00573D9E"/>
    <w:rsid w:val="005801E3"/>
    <w:rsid w:val="00581802"/>
    <w:rsid w:val="005836A8"/>
    <w:rsid w:val="0058409C"/>
    <w:rsid w:val="00584262"/>
    <w:rsid w:val="00586630"/>
    <w:rsid w:val="00587ADD"/>
    <w:rsid w:val="00593A49"/>
    <w:rsid w:val="00594E92"/>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B79DA"/>
    <w:rsid w:val="005C29B8"/>
    <w:rsid w:val="005C5F21"/>
    <w:rsid w:val="005C7156"/>
    <w:rsid w:val="005D0C75"/>
    <w:rsid w:val="005D2372"/>
    <w:rsid w:val="005D4171"/>
    <w:rsid w:val="005D6A95"/>
    <w:rsid w:val="005D6B2C"/>
    <w:rsid w:val="005D6D9C"/>
    <w:rsid w:val="005E2335"/>
    <w:rsid w:val="005E34CA"/>
    <w:rsid w:val="005E3C18"/>
    <w:rsid w:val="005E4250"/>
    <w:rsid w:val="005E4C14"/>
    <w:rsid w:val="005E6812"/>
    <w:rsid w:val="005E7881"/>
    <w:rsid w:val="005E78E0"/>
    <w:rsid w:val="005F0D9C"/>
    <w:rsid w:val="005F284E"/>
    <w:rsid w:val="005F4CAB"/>
    <w:rsid w:val="005F7AC1"/>
    <w:rsid w:val="006015CE"/>
    <w:rsid w:val="00604784"/>
    <w:rsid w:val="00606419"/>
    <w:rsid w:val="00607D29"/>
    <w:rsid w:val="00612952"/>
    <w:rsid w:val="0061452E"/>
    <w:rsid w:val="00614CC1"/>
    <w:rsid w:val="00615A9D"/>
    <w:rsid w:val="00617387"/>
    <w:rsid w:val="006205D6"/>
    <w:rsid w:val="006208B7"/>
    <w:rsid w:val="006252D8"/>
    <w:rsid w:val="006259BC"/>
    <w:rsid w:val="0062636B"/>
    <w:rsid w:val="00632182"/>
    <w:rsid w:val="00632AE0"/>
    <w:rsid w:val="00633C17"/>
    <w:rsid w:val="00634C41"/>
    <w:rsid w:val="00634D9E"/>
    <w:rsid w:val="00636A09"/>
    <w:rsid w:val="00636E3E"/>
    <w:rsid w:val="006379F7"/>
    <w:rsid w:val="00637E4D"/>
    <w:rsid w:val="00640620"/>
    <w:rsid w:val="00641A1F"/>
    <w:rsid w:val="00645904"/>
    <w:rsid w:val="00651ACB"/>
    <w:rsid w:val="00651C47"/>
    <w:rsid w:val="00652AB2"/>
    <w:rsid w:val="00653FED"/>
    <w:rsid w:val="006548EE"/>
    <w:rsid w:val="006549D4"/>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0CAE"/>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0A31"/>
    <w:rsid w:val="00711CBA"/>
    <w:rsid w:val="00711FB5"/>
    <w:rsid w:val="00712A01"/>
    <w:rsid w:val="00714F58"/>
    <w:rsid w:val="00722FBF"/>
    <w:rsid w:val="00722FC2"/>
    <w:rsid w:val="00724DAA"/>
    <w:rsid w:val="00724E1B"/>
    <w:rsid w:val="00725949"/>
    <w:rsid w:val="00727FA2"/>
    <w:rsid w:val="007322D9"/>
    <w:rsid w:val="00732BC0"/>
    <w:rsid w:val="0073720F"/>
    <w:rsid w:val="00737796"/>
    <w:rsid w:val="0074165C"/>
    <w:rsid w:val="00742C35"/>
    <w:rsid w:val="007432CA"/>
    <w:rsid w:val="007434DD"/>
    <w:rsid w:val="007439EB"/>
    <w:rsid w:val="00743B85"/>
    <w:rsid w:val="00743CB4"/>
    <w:rsid w:val="00743F0A"/>
    <w:rsid w:val="00744386"/>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1EAF"/>
    <w:rsid w:val="007925EC"/>
    <w:rsid w:val="007959E8"/>
    <w:rsid w:val="00795E9C"/>
    <w:rsid w:val="007A0521"/>
    <w:rsid w:val="007A2E12"/>
    <w:rsid w:val="007A3475"/>
    <w:rsid w:val="007A3B11"/>
    <w:rsid w:val="007A41C8"/>
    <w:rsid w:val="007A54CE"/>
    <w:rsid w:val="007A5D3A"/>
    <w:rsid w:val="007A6FD9"/>
    <w:rsid w:val="007A7FFA"/>
    <w:rsid w:val="007B04EB"/>
    <w:rsid w:val="007B0D4F"/>
    <w:rsid w:val="007B0FF3"/>
    <w:rsid w:val="007B5A3D"/>
    <w:rsid w:val="007B5B95"/>
    <w:rsid w:val="007B6032"/>
    <w:rsid w:val="007B68EA"/>
    <w:rsid w:val="007B7453"/>
    <w:rsid w:val="007C2D89"/>
    <w:rsid w:val="007C4593"/>
    <w:rsid w:val="007C5309"/>
    <w:rsid w:val="007C6069"/>
    <w:rsid w:val="007D06C4"/>
    <w:rsid w:val="007D0B73"/>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0F59"/>
    <w:rsid w:val="00821D19"/>
    <w:rsid w:val="00823303"/>
    <w:rsid w:val="008233B2"/>
    <w:rsid w:val="00823A9F"/>
    <w:rsid w:val="00823C85"/>
    <w:rsid w:val="00823D32"/>
    <w:rsid w:val="00825138"/>
    <w:rsid w:val="008269DD"/>
    <w:rsid w:val="00830621"/>
    <w:rsid w:val="00832A97"/>
    <w:rsid w:val="0083348C"/>
    <w:rsid w:val="008373D3"/>
    <w:rsid w:val="00840617"/>
    <w:rsid w:val="00840F84"/>
    <w:rsid w:val="00842A47"/>
    <w:rsid w:val="00843C13"/>
    <w:rsid w:val="00843DEF"/>
    <w:rsid w:val="008452D3"/>
    <w:rsid w:val="008454F8"/>
    <w:rsid w:val="0085173A"/>
    <w:rsid w:val="008603CE"/>
    <w:rsid w:val="008620FC"/>
    <w:rsid w:val="008627A5"/>
    <w:rsid w:val="00863E05"/>
    <w:rsid w:val="00865ACA"/>
    <w:rsid w:val="00865D28"/>
    <w:rsid w:val="00865F85"/>
    <w:rsid w:val="00867C10"/>
    <w:rsid w:val="00870439"/>
    <w:rsid w:val="00870DA1"/>
    <w:rsid w:val="0087501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66B"/>
    <w:rsid w:val="008A57E6"/>
    <w:rsid w:val="008A6F81"/>
    <w:rsid w:val="008A769A"/>
    <w:rsid w:val="008B0C9C"/>
    <w:rsid w:val="008B166D"/>
    <w:rsid w:val="008B17F4"/>
    <w:rsid w:val="008B2CBA"/>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CD"/>
    <w:rsid w:val="008F0CDC"/>
    <w:rsid w:val="008F17A3"/>
    <w:rsid w:val="008F1C40"/>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24E"/>
    <w:rsid w:val="009674AD"/>
    <w:rsid w:val="00970CDC"/>
    <w:rsid w:val="00972576"/>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1C85"/>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096"/>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6D8"/>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318"/>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1F90"/>
    <w:rsid w:val="00AC27A6"/>
    <w:rsid w:val="00AC30F7"/>
    <w:rsid w:val="00AC3A5A"/>
    <w:rsid w:val="00AC4D95"/>
    <w:rsid w:val="00AC5DF4"/>
    <w:rsid w:val="00AD0AEF"/>
    <w:rsid w:val="00AD11B7"/>
    <w:rsid w:val="00AD1A94"/>
    <w:rsid w:val="00AD1C05"/>
    <w:rsid w:val="00AD3E03"/>
    <w:rsid w:val="00AD4126"/>
    <w:rsid w:val="00AD421C"/>
    <w:rsid w:val="00AD44FA"/>
    <w:rsid w:val="00AE070A"/>
    <w:rsid w:val="00AE101C"/>
    <w:rsid w:val="00AE2A69"/>
    <w:rsid w:val="00AE37E5"/>
    <w:rsid w:val="00AE3DB2"/>
    <w:rsid w:val="00AE5EB4"/>
    <w:rsid w:val="00AF0C18"/>
    <w:rsid w:val="00AF47C5"/>
    <w:rsid w:val="00AF5398"/>
    <w:rsid w:val="00AF7F80"/>
    <w:rsid w:val="00B043A3"/>
    <w:rsid w:val="00B043B3"/>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1CC5"/>
    <w:rsid w:val="00B4346D"/>
    <w:rsid w:val="00B440F4"/>
    <w:rsid w:val="00B447A5"/>
    <w:rsid w:val="00B4654C"/>
    <w:rsid w:val="00B47293"/>
    <w:rsid w:val="00B50E50"/>
    <w:rsid w:val="00B52120"/>
    <w:rsid w:val="00B52D35"/>
    <w:rsid w:val="00B54ABC"/>
    <w:rsid w:val="00B56FBE"/>
    <w:rsid w:val="00B60ACF"/>
    <w:rsid w:val="00B62B58"/>
    <w:rsid w:val="00B65149"/>
    <w:rsid w:val="00B65173"/>
    <w:rsid w:val="00B65D06"/>
    <w:rsid w:val="00B66567"/>
    <w:rsid w:val="00B66F52"/>
    <w:rsid w:val="00B66FE5"/>
    <w:rsid w:val="00B67920"/>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1E73"/>
    <w:rsid w:val="00BE22F3"/>
    <w:rsid w:val="00BE5B52"/>
    <w:rsid w:val="00BE7B8D"/>
    <w:rsid w:val="00BF0993"/>
    <w:rsid w:val="00BF10A9"/>
    <w:rsid w:val="00BF1703"/>
    <w:rsid w:val="00BF231C"/>
    <w:rsid w:val="00BF3279"/>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237"/>
    <w:rsid w:val="00C34C20"/>
    <w:rsid w:val="00C35A3E"/>
    <w:rsid w:val="00C42130"/>
    <w:rsid w:val="00C423A4"/>
    <w:rsid w:val="00C423E3"/>
    <w:rsid w:val="00C448D0"/>
    <w:rsid w:val="00C44BF5"/>
    <w:rsid w:val="00C507FF"/>
    <w:rsid w:val="00C521D6"/>
    <w:rsid w:val="00C55232"/>
    <w:rsid w:val="00C553A4"/>
    <w:rsid w:val="00C55A06"/>
    <w:rsid w:val="00C55D03"/>
    <w:rsid w:val="00C601BC"/>
    <w:rsid w:val="00C6329F"/>
    <w:rsid w:val="00C63340"/>
    <w:rsid w:val="00C643F9"/>
    <w:rsid w:val="00C64E95"/>
    <w:rsid w:val="00C71372"/>
    <w:rsid w:val="00C72410"/>
    <w:rsid w:val="00C7287F"/>
    <w:rsid w:val="00C77964"/>
    <w:rsid w:val="00C80CB8"/>
    <w:rsid w:val="00C819F8"/>
    <w:rsid w:val="00C8248C"/>
    <w:rsid w:val="00C84E33"/>
    <w:rsid w:val="00C86D6F"/>
    <w:rsid w:val="00C905FC"/>
    <w:rsid w:val="00C92D03"/>
    <w:rsid w:val="00C9319C"/>
    <w:rsid w:val="00C9435D"/>
    <w:rsid w:val="00C94DF2"/>
    <w:rsid w:val="00C95AD5"/>
    <w:rsid w:val="00C96741"/>
    <w:rsid w:val="00CA2D1B"/>
    <w:rsid w:val="00CA375D"/>
    <w:rsid w:val="00CA662A"/>
    <w:rsid w:val="00CA7AFD"/>
    <w:rsid w:val="00CA7C3C"/>
    <w:rsid w:val="00CB0189"/>
    <w:rsid w:val="00CB0BA2"/>
    <w:rsid w:val="00CB1A42"/>
    <w:rsid w:val="00CB1B0C"/>
    <w:rsid w:val="00CB2566"/>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560"/>
    <w:rsid w:val="00CF16BF"/>
    <w:rsid w:val="00CF2947"/>
    <w:rsid w:val="00CF686F"/>
    <w:rsid w:val="00CF6E60"/>
    <w:rsid w:val="00CF7BCA"/>
    <w:rsid w:val="00D008FD"/>
    <w:rsid w:val="00D01F26"/>
    <w:rsid w:val="00D0321C"/>
    <w:rsid w:val="00D035EC"/>
    <w:rsid w:val="00D06AB1"/>
    <w:rsid w:val="00D06FC1"/>
    <w:rsid w:val="00D072ED"/>
    <w:rsid w:val="00D07A16"/>
    <w:rsid w:val="00D1067E"/>
    <w:rsid w:val="00D10F50"/>
    <w:rsid w:val="00D11272"/>
    <w:rsid w:val="00D11322"/>
    <w:rsid w:val="00D126F5"/>
    <w:rsid w:val="00D1489E"/>
    <w:rsid w:val="00D20737"/>
    <w:rsid w:val="00D209E3"/>
    <w:rsid w:val="00D21E81"/>
    <w:rsid w:val="00D223DE"/>
    <w:rsid w:val="00D25E37"/>
    <w:rsid w:val="00D2661A"/>
    <w:rsid w:val="00D27582"/>
    <w:rsid w:val="00D27EC4"/>
    <w:rsid w:val="00D30B16"/>
    <w:rsid w:val="00D32719"/>
    <w:rsid w:val="00D33333"/>
    <w:rsid w:val="00D352A2"/>
    <w:rsid w:val="00D362CA"/>
    <w:rsid w:val="00D36442"/>
    <w:rsid w:val="00D4162B"/>
    <w:rsid w:val="00D4514F"/>
    <w:rsid w:val="00D451E2"/>
    <w:rsid w:val="00D45E89"/>
    <w:rsid w:val="00D45E8D"/>
    <w:rsid w:val="00D466AE"/>
    <w:rsid w:val="00D4734F"/>
    <w:rsid w:val="00D473CA"/>
    <w:rsid w:val="00D51BF3"/>
    <w:rsid w:val="00D51C7D"/>
    <w:rsid w:val="00D66846"/>
    <w:rsid w:val="00D675FB"/>
    <w:rsid w:val="00D71F25"/>
    <w:rsid w:val="00D72A9C"/>
    <w:rsid w:val="00D77031"/>
    <w:rsid w:val="00D84941"/>
    <w:rsid w:val="00D84FA1"/>
    <w:rsid w:val="00D851F0"/>
    <w:rsid w:val="00D86DB7"/>
    <w:rsid w:val="00D87BF5"/>
    <w:rsid w:val="00D90721"/>
    <w:rsid w:val="00D918E9"/>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31D7"/>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7C8"/>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CF8"/>
    <w:rsid w:val="00E502C1"/>
    <w:rsid w:val="00E502DD"/>
    <w:rsid w:val="00E50D3A"/>
    <w:rsid w:val="00E51387"/>
    <w:rsid w:val="00E51E68"/>
    <w:rsid w:val="00E52EFD"/>
    <w:rsid w:val="00E5408A"/>
    <w:rsid w:val="00E56800"/>
    <w:rsid w:val="00E60C63"/>
    <w:rsid w:val="00E62FF9"/>
    <w:rsid w:val="00E635D6"/>
    <w:rsid w:val="00E639BC"/>
    <w:rsid w:val="00E664CC"/>
    <w:rsid w:val="00E6716D"/>
    <w:rsid w:val="00E70388"/>
    <w:rsid w:val="00E70F92"/>
    <w:rsid w:val="00E72A63"/>
    <w:rsid w:val="00E74313"/>
    <w:rsid w:val="00E74C54"/>
    <w:rsid w:val="00E77A03"/>
    <w:rsid w:val="00E822E8"/>
    <w:rsid w:val="00E82554"/>
    <w:rsid w:val="00E82606"/>
    <w:rsid w:val="00E831C1"/>
    <w:rsid w:val="00E846C8"/>
    <w:rsid w:val="00E84957"/>
    <w:rsid w:val="00E84A55"/>
    <w:rsid w:val="00E8548B"/>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B7B3E"/>
    <w:rsid w:val="00EC5359"/>
    <w:rsid w:val="00EC562A"/>
    <w:rsid w:val="00ED067A"/>
    <w:rsid w:val="00ED2B50"/>
    <w:rsid w:val="00EE0350"/>
    <w:rsid w:val="00EE0719"/>
    <w:rsid w:val="00EE0E80"/>
    <w:rsid w:val="00EE613F"/>
    <w:rsid w:val="00EE7295"/>
    <w:rsid w:val="00EE7869"/>
    <w:rsid w:val="00EF054A"/>
    <w:rsid w:val="00EF3235"/>
    <w:rsid w:val="00EF7E72"/>
    <w:rsid w:val="00F002E4"/>
    <w:rsid w:val="00F00E36"/>
    <w:rsid w:val="00F02F57"/>
    <w:rsid w:val="00F06D37"/>
    <w:rsid w:val="00F07B9D"/>
    <w:rsid w:val="00F11586"/>
    <w:rsid w:val="00F1183B"/>
    <w:rsid w:val="00F11C9F"/>
    <w:rsid w:val="00F12263"/>
    <w:rsid w:val="00F1409D"/>
    <w:rsid w:val="00F14214"/>
    <w:rsid w:val="00F157A9"/>
    <w:rsid w:val="00F169CC"/>
    <w:rsid w:val="00F16F00"/>
    <w:rsid w:val="00F25BB6"/>
    <w:rsid w:val="00F26B7E"/>
    <w:rsid w:val="00F27A3B"/>
    <w:rsid w:val="00F32780"/>
    <w:rsid w:val="00F33817"/>
    <w:rsid w:val="00F420D5"/>
    <w:rsid w:val="00F42D11"/>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321E"/>
    <w:rsid w:val="00F833BA"/>
    <w:rsid w:val="00F84FD0"/>
    <w:rsid w:val="00F859A8"/>
    <w:rsid w:val="00F86D87"/>
    <w:rsid w:val="00F9108B"/>
    <w:rsid w:val="00F91349"/>
    <w:rsid w:val="00F922F7"/>
    <w:rsid w:val="00F93A8A"/>
    <w:rsid w:val="00F95248"/>
    <w:rsid w:val="00F956A9"/>
    <w:rsid w:val="00F963ED"/>
    <w:rsid w:val="00F966CF"/>
    <w:rsid w:val="00F96CAE"/>
    <w:rsid w:val="00F97C99"/>
    <w:rsid w:val="00FA662D"/>
    <w:rsid w:val="00FA73B1"/>
    <w:rsid w:val="00FB0CB9"/>
    <w:rsid w:val="00FB0CEF"/>
    <w:rsid w:val="00FB231D"/>
    <w:rsid w:val="00FB371A"/>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83D"/>
    <w:rsid w:val="00FE7E79"/>
    <w:rsid w:val="00FF21EF"/>
    <w:rsid w:val="00FF3E7D"/>
    <w:rsid w:val="00FF5B99"/>
    <w:rsid w:val="00FF730C"/>
    <w:rsid w:val="00FF73F4"/>
    <w:rsid w:val="00FF7CE4"/>
    <w:rsid w:val="00FF7E39"/>
    <w:rsid w:val="047D071B"/>
    <w:rsid w:val="056620A3"/>
    <w:rsid w:val="0D417786"/>
    <w:rsid w:val="0FB44085"/>
    <w:rsid w:val="0FCC1059"/>
    <w:rsid w:val="13DA182D"/>
    <w:rsid w:val="1DF47EFC"/>
    <w:rsid w:val="1EF12119"/>
    <w:rsid w:val="1F8E7E31"/>
    <w:rsid w:val="25830D78"/>
    <w:rsid w:val="2BE772F2"/>
    <w:rsid w:val="312B3853"/>
    <w:rsid w:val="31325453"/>
    <w:rsid w:val="39276649"/>
    <w:rsid w:val="39A94468"/>
    <w:rsid w:val="3A157721"/>
    <w:rsid w:val="440834FB"/>
    <w:rsid w:val="4CBF59F6"/>
    <w:rsid w:val="4CC00608"/>
    <w:rsid w:val="50801112"/>
    <w:rsid w:val="53290667"/>
    <w:rsid w:val="552D6BCA"/>
    <w:rsid w:val="5BCC5A39"/>
    <w:rsid w:val="5EF720C4"/>
    <w:rsid w:val="614702D7"/>
    <w:rsid w:val="64DF14ED"/>
    <w:rsid w:val="64E759D9"/>
    <w:rsid w:val="6872140E"/>
    <w:rsid w:val="6D6A002E"/>
    <w:rsid w:val="6DB97DE8"/>
    <w:rsid w:val="738556A7"/>
    <w:rsid w:val="74E24408"/>
    <w:rsid w:val="76DF5802"/>
    <w:rsid w:val="7A85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8"/>
    <w:qFormat/>
    <w:uiPriority w:val="0"/>
    <w:pPr>
      <w:keepNext/>
      <w:keepLines/>
      <w:spacing w:before="260" w:after="260" w:line="416" w:lineRule="auto"/>
      <w:outlineLvl w:val="2"/>
    </w:pPr>
    <w:rPr>
      <w:b/>
      <w:bCs/>
      <w:sz w:val="32"/>
      <w:szCs w:val="32"/>
    </w:rPr>
  </w:style>
  <w:style w:type="paragraph" w:styleId="7">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13">
    <w:name w:val="toc 7"/>
    <w:basedOn w:val="1"/>
    <w:next w:val="1"/>
    <w:autoRedefine/>
    <w:unhideWhenUsed/>
    <w:qFormat/>
    <w:uiPriority w:val="39"/>
    <w:pPr>
      <w:tabs>
        <w:tab w:val="right" w:leader="dot" w:pos="9344"/>
      </w:tabs>
      <w:spacing w:line="300" w:lineRule="exact"/>
      <w:ind w:left="1259"/>
    </w:pPr>
    <w:rPr>
      <w:rFonts w:ascii="宋体"/>
    </w:rPr>
  </w:style>
  <w:style w:type="paragraph" w:styleId="14">
    <w:name w:val="Normal Indent"/>
    <w:basedOn w:val="1"/>
    <w:qFormat/>
    <w:uiPriority w:val="0"/>
    <w:pPr>
      <w:ind w:firstLine="420"/>
    </w:pPr>
  </w:style>
  <w:style w:type="paragraph" w:styleId="15">
    <w:name w:val="Body Text"/>
    <w:basedOn w:val="1"/>
    <w:link w:val="88"/>
    <w:qFormat/>
    <w:uiPriority w:val="0"/>
    <w:pPr>
      <w:spacing w:after="120"/>
    </w:pPr>
  </w:style>
  <w:style w:type="paragraph" w:styleId="16">
    <w:name w:val="toc 5"/>
    <w:basedOn w:val="1"/>
    <w:next w:val="1"/>
    <w:autoRedefine/>
    <w:unhideWhenUsed/>
    <w:qFormat/>
    <w:uiPriority w:val="39"/>
    <w:pPr>
      <w:ind w:left="839"/>
    </w:pPr>
    <w:rPr>
      <w:rFonts w:ascii="宋体"/>
    </w:rPr>
  </w:style>
  <w:style w:type="paragraph" w:styleId="17">
    <w:name w:val="toc 3"/>
    <w:basedOn w:val="1"/>
    <w:next w:val="1"/>
    <w:autoRedefine/>
    <w:unhideWhenUsed/>
    <w:qFormat/>
    <w:uiPriority w:val="39"/>
    <w:pPr>
      <w:spacing w:line="300" w:lineRule="exact"/>
      <w:ind w:left="420"/>
    </w:pPr>
    <w:rPr>
      <w:rFonts w:ascii="宋体"/>
    </w:rPr>
  </w:style>
  <w:style w:type="paragraph" w:styleId="18">
    <w:name w:val="Balloon Text"/>
    <w:basedOn w:val="1"/>
    <w:link w:val="47"/>
    <w:semiHidden/>
    <w:unhideWhenUsed/>
    <w:qFormat/>
    <w:uiPriority w:val="99"/>
    <w:rPr>
      <w:sz w:val="18"/>
      <w:szCs w:val="18"/>
    </w:rPr>
  </w:style>
  <w:style w:type="paragraph" w:styleId="19">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5"/>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Heading 1 Char"/>
    <w:link w:val="4"/>
    <w:qFormat/>
    <w:uiPriority w:val="0"/>
    <w:rPr>
      <w:b/>
      <w:bCs/>
      <w:kern w:val="44"/>
      <w:sz w:val="44"/>
      <w:szCs w:val="44"/>
    </w:rPr>
  </w:style>
  <w:style w:type="character" w:customStyle="1" w:styleId="37">
    <w:name w:val="Heading 2 Char"/>
    <w:link w:val="5"/>
    <w:qFormat/>
    <w:uiPriority w:val="0"/>
    <w:rPr>
      <w:rFonts w:ascii="Arial" w:hAnsi="Arial" w:eastAsia="黑体"/>
      <w:b/>
      <w:bCs/>
      <w:kern w:val="2"/>
      <w:sz w:val="32"/>
      <w:szCs w:val="32"/>
    </w:rPr>
  </w:style>
  <w:style w:type="character" w:customStyle="1" w:styleId="38">
    <w:name w:val="Heading 3 Char"/>
    <w:link w:val="6"/>
    <w:qFormat/>
    <w:uiPriority w:val="0"/>
    <w:rPr>
      <w:b/>
      <w:bCs/>
      <w:kern w:val="2"/>
      <w:sz w:val="32"/>
      <w:szCs w:val="32"/>
    </w:rPr>
  </w:style>
  <w:style w:type="character" w:customStyle="1" w:styleId="39">
    <w:name w:val="Heading 4 Char"/>
    <w:link w:val="7"/>
    <w:qFormat/>
    <w:uiPriority w:val="0"/>
    <w:rPr>
      <w:rFonts w:ascii="Arial" w:hAnsi="Arial" w:eastAsia="黑体"/>
      <w:b/>
      <w:bCs/>
      <w:kern w:val="2"/>
      <w:sz w:val="28"/>
      <w:szCs w:val="28"/>
    </w:rPr>
  </w:style>
  <w:style w:type="character" w:customStyle="1" w:styleId="40">
    <w:name w:val="Heading 5 Char"/>
    <w:link w:val="8"/>
    <w:qFormat/>
    <w:uiPriority w:val="0"/>
    <w:rPr>
      <w:b/>
      <w:bCs/>
      <w:kern w:val="2"/>
      <w:sz w:val="28"/>
      <w:szCs w:val="28"/>
    </w:rPr>
  </w:style>
  <w:style w:type="character" w:customStyle="1" w:styleId="41">
    <w:name w:val="Heading 6 Char"/>
    <w:link w:val="9"/>
    <w:qFormat/>
    <w:uiPriority w:val="0"/>
    <w:rPr>
      <w:rFonts w:ascii="Arial" w:hAnsi="Arial" w:eastAsia="黑体"/>
      <w:b/>
      <w:bCs/>
      <w:kern w:val="2"/>
      <w:sz w:val="24"/>
      <w:szCs w:val="24"/>
    </w:rPr>
  </w:style>
  <w:style w:type="character" w:customStyle="1" w:styleId="42">
    <w:name w:val="Heading 7 Char"/>
    <w:link w:val="10"/>
    <w:qFormat/>
    <w:uiPriority w:val="0"/>
    <w:rPr>
      <w:b/>
      <w:bCs/>
      <w:kern w:val="2"/>
      <w:sz w:val="24"/>
      <w:szCs w:val="24"/>
    </w:rPr>
  </w:style>
  <w:style w:type="character" w:customStyle="1" w:styleId="43">
    <w:name w:val="Heading 8 Char"/>
    <w:link w:val="11"/>
    <w:qFormat/>
    <w:uiPriority w:val="0"/>
    <w:rPr>
      <w:rFonts w:ascii="Arial" w:hAnsi="Arial" w:eastAsia="黑体"/>
      <w:kern w:val="2"/>
      <w:sz w:val="24"/>
      <w:szCs w:val="24"/>
    </w:rPr>
  </w:style>
  <w:style w:type="character" w:customStyle="1" w:styleId="44">
    <w:name w:val="Heading 9 Char"/>
    <w:link w:val="12"/>
    <w:qFormat/>
    <w:uiPriority w:val="0"/>
    <w:rPr>
      <w:rFonts w:ascii="Arial" w:hAnsi="Arial" w:eastAsia="黑体"/>
      <w:kern w:val="2"/>
      <w:sz w:val="21"/>
      <w:szCs w:val="21"/>
    </w:rPr>
  </w:style>
  <w:style w:type="character" w:customStyle="1" w:styleId="45">
    <w:name w:val="Header Char"/>
    <w:link w:val="20"/>
    <w:qFormat/>
    <w:uiPriority w:val="99"/>
    <w:rPr>
      <w:kern w:val="2"/>
      <w:sz w:val="18"/>
      <w:szCs w:val="18"/>
    </w:rPr>
  </w:style>
  <w:style w:type="character" w:customStyle="1" w:styleId="46">
    <w:name w:val="Footer Char"/>
    <w:link w:val="19"/>
    <w:qFormat/>
    <w:uiPriority w:val="99"/>
    <w:rPr>
      <w:rFonts w:ascii="宋体"/>
      <w:kern w:val="2"/>
      <w:sz w:val="18"/>
      <w:szCs w:val="18"/>
    </w:rPr>
  </w:style>
  <w:style w:type="character" w:customStyle="1" w:styleId="47">
    <w:name w:val="Balloon Text Char"/>
    <w:link w:val="18"/>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Quote Char"/>
    <w:link w:val="48"/>
    <w:qFormat/>
    <w:uiPriority w:val="29"/>
    <w:rPr>
      <w:i/>
      <w:iCs/>
      <w:color w:val="000000"/>
      <w:kern w:val="2"/>
      <w:sz w:val="21"/>
      <w:szCs w:val="21"/>
    </w:rPr>
  </w:style>
  <w:style w:type="character" w:customStyle="1" w:styleId="50">
    <w:name w:val="Title Char"/>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Body Text Char"/>
    <w:link w:val="15"/>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Footnote Text Char"/>
    <w:link w:val="23"/>
    <w:semiHidden/>
    <w:qFormat/>
    <w:uiPriority w:val="0"/>
    <w:rPr>
      <w:rFonts w:ascii="宋体"/>
      <w:kern w:val="2"/>
      <w:sz w:val="18"/>
      <w:szCs w:val="18"/>
    </w:rPr>
  </w:style>
  <w:style w:type="paragraph" w:customStyle="1" w:styleId="102">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paragraph" w:customStyle="1" w:styleId="23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
    <w:name w:val="段"/>
    <w:basedOn w:val="1"/>
    <w:link w:val="237"/>
    <w:qFormat/>
    <w:uiPriority w:val="0"/>
    <w:pPr>
      <w:widowControl/>
      <w:autoSpaceDE w:val="0"/>
      <w:autoSpaceDN w:val="0"/>
      <w:adjustRightInd/>
      <w:spacing w:line="240" w:lineRule="auto"/>
      <w:ind w:firstLine="420" w:firstLineChars="200"/>
    </w:pPr>
    <w:rPr>
      <w:rFonts w:ascii="宋体" w:hAnsi="宋体" w:cs="宋体"/>
      <w:kern w:val="0"/>
    </w:rPr>
  </w:style>
  <w:style w:type="character" w:customStyle="1" w:styleId="234">
    <w:name w:val="未处理的提及1"/>
    <w:basedOn w:val="30"/>
    <w:semiHidden/>
    <w:unhideWhenUsed/>
    <w:qFormat/>
    <w:uiPriority w:val="99"/>
    <w:rPr>
      <w:color w:val="605E5C"/>
      <w:shd w:val="clear" w:color="auto" w:fill="E1DFDD"/>
    </w:rPr>
  </w:style>
  <w:style w:type="paragraph" w:customStyle="1" w:styleId="235">
    <w:name w:val="章标题"/>
    <w:next w:val="233"/>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6">
    <w:name w:val="一级条标题"/>
    <w:next w:val="233"/>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237">
    <w:name w:val="段 Char"/>
    <w:link w:val="233"/>
    <w:qFormat/>
    <w:uiPriority w:val="0"/>
    <w:rPr>
      <w:rFonts w:ascii="宋体" w:hAnsi="宋体" w:cs="宋体"/>
      <w:sz w:val="21"/>
      <w:szCs w:val="21"/>
    </w:rPr>
  </w:style>
  <w:style w:type="paragraph" w:customStyle="1" w:styleId="238">
    <w:name w:val="二级条标题"/>
    <w:basedOn w:val="236"/>
    <w:next w:val="233"/>
    <w:qFormat/>
    <w:uiPriority w:val="0"/>
    <w:pPr>
      <w:numPr>
        <w:ilvl w:val="0"/>
        <w:numId w:val="0"/>
      </w:numPr>
      <w:tabs>
        <w:tab w:val="left" w:pos="1616"/>
      </w:tabs>
      <w:spacing w:before="50" w:after="50"/>
      <w:ind w:left="1616" w:hanging="567"/>
      <w:outlineLvl w:val="3"/>
    </w:pPr>
  </w:style>
  <w:style w:type="paragraph" w:customStyle="1" w:styleId="239">
    <w:name w:val="列项——（一级）"/>
    <w:qFormat/>
    <w:uiPriority w:val="0"/>
    <w:pPr>
      <w:widowControl w:val="0"/>
      <w:numPr>
        <w:ilvl w:val="0"/>
        <w:numId w:val="33"/>
      </w:numPr>
      <w:jc w:val="both"/>
    </w:pPr>
    <w:rPr>
      <w:rFonts w:ascii="宋体" w:hAnsi="Times New Roman" w:eastAsia="宋体" w:cs="Times New Roman"/>
      <w:sz w:val="21"/>
      <w:lang w:val="en-US" w:eastAsia="zh-CN" w:bidi="ar-SA"/>
    </w:rPr>
  </w:style>
  <w:style w:type="paragraph" w:styleId="24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3A2D58D6D849859A51C62D26ECAB3F"/>
        <w:style w:val=""/>
        <w:category>
          <w:name w:val="General"/>
          <w:gallery w:val="placeholder"/>
        </w:category>
        <w:types>
          <w:type w:val="bbPlcHdr"/>
        </w:types>
        <w:behaviors>
          <w:behavior w:val="content"/>
        </w:behaviors>
        <w:description w:val=""/>
        <w:guid w:val="{2DEB15D0-E3F6-4594-8FC1-8ED590364773}"/>
      </w:docPartPr>
      <w:docPartBody>
        <w:p w14:paraId="2C8F62B9">
          <w:pPr>
            <w:pStyle w:val="5"/>
          </w:pPr>
          <w:r>
            <w:rPr>
              <w:rStyle w:val="4"/>
              <w:rFonts w:hint="eastAsia"/>
            </w:rPr>
            <w:t>单击或点击此处输入文字。</w:t>
          </w:r>
        </w:p>
      </w:docPartBody>
    </w:docPart>
    <w:docPart>
      <w:docPartPr>
        <w:name w:val="05658745C3E14888A81E58AC3CD14210"/>
        <w:style w:val=""/>
        <w:category>
          <w:name w:val="General"/>
          <w:gallery w:val="placeholder"/>
        </w:category>
        <w:types>
          <w:type w:val="bbPlcHdr"/>
        </w:types>
        <w:behaviors>
          <w:behavior w:val="content"/>
        </w:behaviors>
        <w:description w:val=""/>
        <w:guid w:val="{63634EC9-05D3-4B98-BC0E-E50BF8267D9A}"/>
      </w:docPartPr>
      <w:docPartBody>
        <w:p w14:paraId="383E0037">
          <w:pPr>
            <w:pStyle w:val="6"/>
          </w:pPr>
          <w:r>
            <w:rPr>
              <w:rStyle w:val="4"/>
              <w:rFonts w:hint="eastAsia"/>
            </w:rPr>
            <w:t>选择一项。</w:t>
          </w:r>
        </w:p>
      </w:docPartBody>
    </w:docPart>
    <w:docPart>
      <w:docPartPr>
        <w:name w:val="11AEB22BF1624B07B8F340787C90C357"/>
        <w:style w:val=""/>
        <w:category>
          <w:name w:val="General"/>
          <w:gallery w:val="placeholder"/>
        </w:category>
        <w:types>
          <w:type w:val="bbPlcHdr"/>
        </w:types>
        <w:behaviors>
          <w:behavior w:val="content"/>
        </w:behaviors>
        <w:description w:val=""/>
        <w:guid w:val="{60A5AADF-25FB-4A9A-8242-572D7E5EB724}"/>
      </w:docPartPr>
      <w:docPartBody>
        <w:p w14:paraId="5E02A6BA">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59"/>
    <w:rsid w:val="001F1021"/>
    <w:rsid w:val="00246C49"/>
    <w:rsid w:val="00321D91"/>
    <w:rsid w:val="003A2713"/>
    <w:rsid w:val="00594E92"/>
    <w:rsid w:val="005E4C14"/>
    <w:rsid w:val="006208B7"/>
    <w:rsid w:val="00645060"/>
    <w:rsid w:val="006548EE"/>
    <w:rsid w:val="008F50C2"/>
    <w:rsid w:val="00A46318"/>
    <w:rsid w:val="00AC1B55"/>
    <w:rsid w:val="00AD3E03"/>
    <w:rsid w:val="00B75259"/>
    <w:rsid w:val="00CE61AD"/>
    <w:rsid w:val="00CF3CB8"/>
    <w:rsid w:val="00E070C7"/>
    <w:rsid w:val="00FF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A3A2D58D6D849859A51C62D26ECAB3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05658745C3E14888A81E58AC3CD1421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11AEB22BF1624B07B8F340787C90C35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10760-EC22-44B0-9216-49DD32420FF9}">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13</Pages>
  <Words>6296</Words>
  <Characters>7048</Characters>
  <Lines>59</Lines>
  <Paragraphs>16</Paragraphs>
  <TotalTime>19</TotalTime>
  <ScaleCrop>false</ScaleCrop>
  <LinksUpToDate>false</LinksUpToDate>
  <CharactersWithSpaces>7270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2024-09-18T06:05:00Z</dcterms:created>
  <dc:creator>zhi xu</dc:creator>
  <dc:description>&lt;config cover="true" show_menu="true" version="1.0.0" doctype="SDKXY"&gt;_x000d_
&lt;/config&gt;</dc:description>
  <cp:lastModifiedBy>陈静</cp:lastModifiedBy>
  <cp:lastPrinted>2021-02-02T08:22:00Z</cp:lastPrinted>
  <dcterms:modified xsi:type="dcterms:W3CDTF">2025-09-09T08:32:45Z</dcterms:modified>
  <dc:title>团体标准</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F514E28E96034B2381283E00BED60C48_13</vt:lpwstr>
  </property>
  <property fmtid="{D5CDD505-2E9C-101B-9397-08002B2CF9AE}" pid="16" name="ClassificationContentMarkingHeaderShapeIds">
    <vt:lpwstr>40c2abd2,6b082e19,7b2d4031,58889b62,663dc577,62fc9915</vt:lpwstr>
  </property>
  <property fmtid="{D5CDD505-2E9C-101B-9397-08002B2CF9AE}" pid="17" name="ClassificationContentMarkingHeaderFontProps">
    <vt:lpwstr>#00b294,12,Calibri</vt:lpwstr>
  </property>
  <property fmtid="{D5CDD505-2E9C-101B-9397-08002B2CF9AE}" pid="18" name="ClassificationContentMarkingHeaderText">
    <vt:lpwstr>Proprietary</vt:lpwstr>
  </property>
  <property fmtid="{D5CDD505-2E9C-101B-9397-08002B2CF9AE}" pid="19" name="MSIP_Label_927fd646-07cb-4c4e-a107-4e4d6b30ba1b_Enabled">
    <vt:lpwstr>true</vt:lpwstr>
  </property>
  <property fmtid="{D5CDD505-2E9C-101B-9397-08002B2CF9AE}" pid="20" name="MSIP_Label_927fd646-07cb-4c4e-a107-4e4d6b30ba1b_SetDate">
    <vt:lpwstr>2024-09-24T05:04:00Z</vt:lpwstr>
  </property>
  <property fmtid="{D5CDD505-2E9C-101B-9397-08002B2CF9AE}" pid="21" name="MSIP_Label_927fd646-07cb-4c4e-a107-4e4d6b30ba1b_Method">
    <vt:lpwstr>Privileged</vt:lpwstr>
  </property>
  <property fmtid="{D5CDD505-2E9C-101B-9397-08002B2CF9AE}" pid="22" name="MSIP_Label_927fd646-07cb-4c4e-a107-4e4d6b30ba1b_Name">
    <vt:lpwstr>927fd646-07cb-4c4e-a107-4e4d6b30ba1b</vt:lpwstr>
  </property>
  <property fmtid="{D5CDD505-2E9C-101B-9397-08002B2CF9AE}" pid="23" name="MSIP_Label_927fd646-07cb-4c4e-a107-4e4d6b30ba1b_SiteId">
    <vt:lpwstr>a00de4ec-48a8-43a6-be74-e31274e2060d</vt:lpwstr>
  </property>
  <property fmtid="{D5CDD505-2E9C-101B-9397-08002B2CF9AE}" pid="24" name="MSIP_Label_927fd646-07cb-4c4e-a107-4e4d6b30ba1b_ActionId">
    <vt:lpwstr>21182e6f-4f13-4e64-b2a3-888d7f40db59</vt:lpwstr>
  </property>
  <property fmtid="{D5CDD505-2E9C-101B-9397-08002B2CF9AE}" pid="25" name="MSIP_Label_927fd646-07cb-4c4e-a107-4e4d6b30ba1b_ContentBits">
    <vt:lpwstr>1</vt:lpwstr>
  </property>
  <property fmtid="{D5CDD505-2E9C-101B-9397-08002B2CF9AE}" pid="26" name="KSOTemplateDocerSaveRecord">
    <vt:lpwstr>eyJoZGlkIjoiMzEwNTM5NzYwMDRjMzkwZTVkZjY2ODkwMGIxNGU0OTUiLCJ1c2VySWQiOiI1NDQyNjA0NTcifQ==</vt:lpwstr>
  </property>
</Properties>
</file>