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8616B">
      <w:pPr>
        <w:adjustRightInd w:val="0"/>
        <w:snapToGrid w:val="0"/>
        <w:ind w:firstLine="640"/>
        <w:rPr>
          <w:rFonts w:ascii="仿宋" w:hAnsi="仿宋" w:eastAsia="仿宋"/>
          <w:sz w:val="32"/>
          <w:szCs w:val="32"/>
        </w:rPr>
      </w:pPr>
    </w:p>
    <w:p w14:paraId="49C8C992">
      <w:pPr>
        <w:adjustRightInd w:val="0"/>
        <w:snapToGrid w:val="0"/>
        <w:ind w:firstLine="643"/>
        <w:jc w:val="center"/>
        <w:rPr>
          <w:rFonts w:ascii="仿宋" w:hAnsi="仿宋" w:eastAsia="仿宋"/>
          <w:b/>
          <w:sz w:val="32"/>
          <w:szCs w:val="32"/>
        </w:rPr>
      </w:pPr>
    </w:p>
    <w:p w14:paraId="4EDECAA1">
      <w:pPr>
        <w:adjustRightInd w:val="0"/>
        <w:snapToGrid w:val="0"/>
        <w:ind w:firstLine="643"/>
        <w:jc w:val="center"/>
        <w:rPr>
          <w:rFonts w:ascii="仿宋" w:hAnsi="仿宋" w:eastAsia="仿宋"/>
          <w:b/>
          <w:sz w:val="32"/>
          <w:szCs w:val="32"/>
        </w:rPr>
      </w:pPr>
    </w:p>
    <w:p w14:paraId="4FF5942C">
      <w:pPr>
        <w:adjustRightInd w:val="0"/>
        <w:snapToGrid w:val="0"/>
        <w:ind w:firstLine="643"/>
        <w:jc w:val="center"/>
        <w:rPr>
          <w:rFonts w:ascii="仿宋" w:hAnsi="仿宋" w:eastAsia="仿宋"/>
          <w:b/>
          <w:sz w:val="32"/>
          <w:szCs w:val="32"/>
        </w:rPr>
      </w:pPr>
    </w:p>
    <w:p w14:paraId="39C157A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黑体" w:hAnsi="黑体" w:eastAsia="黑体"/>
          <w:sz w:val="44"/>
          <w:szCs w:val="44"/>
        </w:rPr>
      </w:pPr>
      <w:bookmarkStart w:id="0" w:name="_Hlk159854118"/>
      <w:r>
        <w:rPr>
          <w:rFonts w:hint="eastAsia" w:ascii="黑体" w:hAnsi="黑体" w:eastAsia="黑体"/>
          <w:sz w:val="44"/>
          <w:szCs w:val="44"/>
        </w:rPr>
        <w:t>鳗苗专项特许渔捞日志规范</w:t>
      </w:r>
    </w:p>
    <w:bookmarkEnd w:id="0"/>
    <w:p w14:paraId="4937DAAC">
      <w:pPr>
        <w:adjustRightInd w:val="0"/>
        <w:snapToGrid w:val="0"/>
        <w:ind w:firstLine="640"/>
        <w:jc w:val="center"/>
        <w:rPr>
          <w:rFonts w:ascii="楷体" w:hAnsi="楷体" w:eastAsia="楷体"/>
          <w:sz w:val="32"/>
          <w:szCs w:val="32"/>
        </w:rPr>
      </w:pPr>
    </w:p>
    <w:p w14:paraId="5233B7E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ascii="仿宋" w:hAnsi="仿宋" w:eastAsia="仿宋"/>
          <w:b/>
          <w:sz w:val="36"/>
          <w:szCs w:val="36"/>
        </w:rPr>
      </w:pPr>
      <w:r>
        <w:rPr>
          <w:rFonts w:hint="eastAsia" w:ascii="仿宋" w:hAnsi="仿宋" w:eastAsia="仿宋"/>
          <w:b/>
          <w:sz w:val="36"/>
          <w:szCs w:val="36"/>
        </w:rPr>
        <w:t>编制说明</w:t>
      </w:r>
    </w:p>
    <w:p w14:paraId="5DABDC98">
      <w:pPr>
        <w:adjustRightInd w:val="0"/>
        <w:snapToGrid w:val="0"/>
        <w:ind w:firstLine="643"/>
        <w:jc w:val="center"/>
        <w:rPr>
          <w:rFonts w:ascii="仿宋" w:hAnsi="仿宋" w:eastAsia="仿宋"/>
          <w:b/>
          <w:sz w:val="32"/>
          <w:szCs w:val="32"/>
        </w:rPr>
      </w:pPr>
    </w:p>
    <w:p w14:paraId="1A90776F">
      <w:pPr>
        <w:adjustRightInd w:val="0"/>
        <w:snapToGrid w:val="0"/>
        <w:ind w:firstLine="643"/>
        <w:jc w:val="center"/>
        <w:rPr>
          <w:rFonts w:ascii="仿宋" w:hAnsi="仿宋" w:eastAsia="仿宋"/>
          <w:b/>
          <w:sz w:val="32"/>
          <w:szCs w:val="32"/>
        </w:rPr>
      </w:pPr>
    </w:p>
    <w:p w14:paraId="3958A7D8">
      <w:pPr>
        <w:adjustRightInd w:val="0"/>
        <w:snapToGrid w:val="0"/>
        <w:ind w:firstLine="643"/>
        <w:jc w:val="center"/>
        <w:rPr>
          <w:rFonts w:ascii="仿宋" w:hAnsi="仿宋" w:eastAsia="仿宋"/>
          <w:b/>
          <w:sz w:val="32"/>
          <w:szCs w:val="32"/>
        </w:rPr>
      </w:pPr>
    </w:p>
    <w:p w14:paraId="2C65F439">
      <w:pPr>
        <w:adjustRightInd w:val="0"/>
        <w:snapToGrid w:val="0"/>
        <w:ind w:firstLine="643"/>
        <w:jc w:val="center"/>
        <w:rPr>
          <w:rFonts w:ascii="仿宋" w:hAnsi="仿宋" w:eastAsia="仿宋"/>
          <w:b/>
          <w:sz w:val="32"/>
          <w:szCs w:val="32"/>
        </w:rPr>
      </w:pPr>
    </w:p>
    <w:p w14:paraId="40C44C19">
      <w:pPr>
        <w:adjustRightInd w:val="0"/>
        <w:snapToGrid w:val="0"/>
        <w:ind w:firstLine="643"/>
        <w:jc w:val="center"/>
        <w:rPr>
          <w:rFonts w:ascii="仿宋" w:hAnsi="仿宋" w:eastAsia="仿宋"/>
          <w:b/>
          <w:sz w:val="32"/>
          <w:szCs w:val="32"/>
        </w:rPr>
      </w:pPr>
    </w:p>
    <w:p w14:paraId="0B497CBB">
      <w:pPr>
        <w:adjustRightInd w:val="0"/>
        <w:snapToGrid w:val="0"/>
        <w:ind w:firstLine="643"/>
        <w:jc w:val="center"/>
        <w:rPr>
          <w:rFonts w:ascii="仿宋" w:hAnsi="仿宋" w:eastAsia="仿宋"/>
          <w:b/>
          <w:sz w:val="32"/>
          <w:szCs w:val="32"/>
        </w:rPr>
      </w:pPr>
    </w:p>
    <w:p w14:paraId="5512C6F1">
      <w:pPr>
        <w:adjustRightInd w:val="0"/>
        <w:snapToGrid w:val="0"/>
        <w:ind w:firstLine="643"/>
        <w:jc w:val="center"/>
        <w:rPr>
          <w:rFonts w:ascii="仿宋" w:hAnsi="仿宋" w:eastAsia="仿宋"/>
          <w:b/>
          <w:sz w:val="32"/>
          <w:szCs w:val="32"/>
        </w:rPr>
      </w:pPr>
    </w:p>
    <w:p w14:paraId="68684389">
      <w:pPr>
        <w:adjustRightInd w:val="0"/>
        <w:snapToGrid w:val="0"/>
        <w:ind w:firstLine="643"/>
        <w:jc w:val="center"/>
        <w:rPr>
          <w:rFonts w:ascii="仿宋" w:hAnsi="仿宋" w:eastAsia="仿宋"/>
          <w:b/>
          <w:sz w:val="32"/>
          <w:szCs w:val="32"/>
        </w:rPr>
      </w:pPr>
    </w:p>
    <w:p w14:paraId="7BD4B832">
      <w:pPr>
        <w:adjustRightInd w:val="0"/>
        <w:snapToGrid w:val="0"/>
        <w:ind w:firstLine="643"/>
        <w:jc w:val="center"/>
        <w:rPr>
          <w:rFonts w:ascii="仿宋" w:hAnsi="仿宋" w:eastAsia="仿宋"/>
          <w:b/>
          <w:sz w:val="32"/>
          <w:szCs w:val="32"/>
        </w:rPr>
      </w:pPr>
    </w:p>
    <w:p w14:paraId="6AA65954">
      <w:pPr>
        <w:adjustRightInd w:val="0"/>
        <w:snapToGrid w:val="0"/>
        <w:ind w:firstLine="643"/>
        <w:jc w:val="center"/>
        <w:rPr>
          <w:rFonts w:ascii="仿宋" w:hAnsi="仿宋" w:eastAsia="仿宋"/>
          <w:b/>
          <w:sz w:val="32"/>
          <w:szCs w:val="32"/>
        </w:rPr>
      </w:pPr>
    </w:p>
    <w:p w14:paraId="25AF760A">
      <w:pPr>
        <w:adjustRightInd w:val="0"/>
        <w:snapToGrid w:val="0"/>
        <w:ind w:firstLine="643"/>
        <w:jc w:val="center"/>
        <w:rPr>
          <w:rFonts w:ascii="仿宋" w:hAnsi="仿宋" w:eastAsia="仿宋"/>
          <w:b/>
          <w:sz w:val="32"/>
          <w:szCs w:val="32"/>
        </w:rPr>
      </w:pPr>
    </w:p>
    <w:p w14:paraId="28E91868">
      <w:pPr>
        <w:adjustRightInd w:val="0"/>
        <w:snapToGrid w:val="0"/>
        <w:ind w:firstLine="640"/>
        <w:jc w:val="center"/>
        <w:rPr>
          <w:rFonts w:ascii="仿宋" w:hAnsi="仿宋" w:eastAsia="仿宋"/>
          <w:sz w:val="32"/>
          <w:szCs w:val="32"/>
        </w:rPr>
      </w:pPr>
      <w:r>
        <w:rPr>
          <w:rFonts w:hint="eastAsia" w:ascii="仿宋" w:hAnsi="仿宋" w:eastAsia="仿宋"/>
          <w:sz w:val="32"/>
          <w:szCs w:val="32"/>
        </w:rPr>
        <w:t>浙江省海洋水产养殖研究所（浙江省海洋渔业环境与生物安全检验监测中心）</w:t>
      </w:r>
    </w:p>
    <w:p w14:paraId="782A3F39">
      <w:pPr>
        <w:adjustRightInd w:val="0"/>
        <w:snapToGrid w:val="0"/>
        <w:ind w:firstLine="640"/>
        <w:jc w:val="center"/>
        <w:rPr>
          <w:rFonts w:hint="default" w:ascii="Times New Roman" w:hAnsi="Times New Roman" w:eastAsia="仿宋" w:cs="Times New Roman"/>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eastAsia" w:eastAsia="仿宋" w:cs="Times New Roman"/>
          <w:sz w:val="32"/>
          <w:szCs w:val="32"/>
          <w:lang w:val="en-US" w:eastAsia="zh-CN"/>
        </w:rPr>
        <w:t>6</w:t>
      </w:r>
      <w:r>
        <w:rPr>
          <w:rFonts w:hint="default" w:ascii="Times New Roman" w:hAnsi="Times New Roman" w:eastAsia="仿宋" w:cs="Times New Roman"/>
          <w:sz w:val="32"/>
          <w:szCs w:val="32"/>
        </w:rPr>
        <w:t>月</w:t>
      </w:r>
    </w:p>
    <w:p w14:paraId="6C9CBC93">
      <w:pPr>
        <w:adjustRightInd w:val="0"/>
        <w:snapToGrid w:val="0"/>
        <w:ind w:firstLine="199" w:firstLineChars="55"/>
        <w:rPr>
          <w:rFonts w:hint="eastAsia" w:ascii="仿宋" w:hAnsi="仿宋" w:eastAsia="仿宋"/>
          <w:b/>
          <w:sz w:val="36"/>
          <w:szCs w:val="36"/>
        </w:rPr>
      </w:pPr>
    </w:p>
    <w:p w14:paraId="04DAB3C2">
      <w:pPr>
        <w:adjustRightInd w:val="0"/>
        <w:snapToGrid w:val="0"/>
        <w:ind w:firstLine="199" w:firstLineChars="55"/>
        <w:jc w:val="center"/>
        <w:rPr>
          <w:rFonts w:hint="eastAsia" w:ascii="仿宋" w:hAnsi="仿宋" w:eastAsia="仿宋"/>
          <w:b/>
          <w:sz w:val="36"/>
          <w:szCs w:val="36"/>
        </w:rPr>
      </w:pPr>
      <w:r>
        <w:rPr>
          <w:rFonts w:hint="eastAsia" w:ascii="仿宋" w:hAnsi="仿宋" w:eastAsia="仿宋"/>
          <w:b/>
          <w:sz w:val="36"/>
          <w:szCs w:val="36"/>
        </w:rPr>
        <w:t>《鳗苗专项特许渔捞日志规范》</w:t>
      </w:r>
    </w:p>
    <w:p w14:paraId="62D23EC9">
      <w:pPr>
        <w:adjustRightInd w:val="0"/>
        <w:snapToGrid w:val="0"/>
        <w:ind w:firstLine="199" w:firstLineChars="55"/>
        <w:jc w:val="center"/>
        <w:rPr>
          <w:rFonts w:ascii="仿宋" w:hAnsi="仿宋" w:eastAsia="仿宋"/>
          <w:b/>
          <w:sz w:val="36"/>
          <w:szCs w:val="36"/>
        </w:rPr>
      </w:pPr>
      <w:r>
        <w:rPr>
          <w:rFonts w:hint="eastAsia" w:ascii="仿宋" w:hAnsi="仿宋" w:eastAsia="仿宋"/>
          <w:b/>
          <w:sz w:val="36"/>
          <w:szCs w:val="36"/>
        </w:rPr>
        <w:t>中国水产学会团体标准编制说明</w:t>
      </w:r>
    </w:p>
    <w:p w14:paraId="33077058">
      <w:pPr>
        <w:ind w:left="0" w:leftChars="0" w:firstLine="0" w:firstLineChars="0"/>
        <w:rPr>
          <w:rFonts w:ascii="仿宋" w:hAnsi="仿宋" w:eastAsia="仿宋"/>
          <w:sz w:val="32"/>
          <w:szCs w:val="32"/>
        </w:rPr>
      </w:pPr>
    </w:p>
    <w:p w14:paraId="0CAF85E2">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Times New Roman" w:hAnsi="Times New Roman" w:eastAsia="黑体" w:cs="Times New Roman"/>
          <w:b w:val="0"/>
          <w:bCs/>
          <w:kern w:val="44"/>
          <w:sz w:val="32"/>
          <w:szCs w:val="24"/>
          <w:lang w:val="en-US" w:eastAsia="zh-CN" w:bidi="ar-SA"/>
        </w:rPr>
      </w:pPr>
      <w:r>
        <w:rPr>
          <w:rFonts w:hint="eastAsia" w:ascii="Times New Roman" w:hAnsi="Times New Roman" w:eastAsia="黑体" w:cs="Times New Roman"/>
          <w:b w:val="0"/>
          <w:bCs/>
          <w:kern w:val="44"/>
          <w:sz w:val="32"/>
          <w:szCs w:val="24"/>
          <w:lang w:val="en-US" w:eastAsia="zh-CN" w:bidi="ar-SA"/>
        </w:rPr>
        <w:t>一、工作简况（包括任务来源、协作单位、主要工作过程、编写组成员及其所做的主要工作等）</w:t>
      </w:r>
    </w:p>
    <w:p w14:paraId="3EAD131B">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黑体" w:hAnsi="黑体" w:eastAsia="黑体" w:cs="黑体"/>
          <w:b/>
          <w:bCs w:val="0"/>
          <w:sz w:val="28"/>
          <w:szCs w:val="28"/>
        </w:rPr>
      </w:pPr>
      <w:r>
        <w:rPr>
          <w:rFonts w:hint="eastAsia" w:ascii="黑体" w:hAnsi="黑体" w:eastAsia="黑体" w:cs="黑体"/>
          <w:b/>
          <w:bCs w:val="0"/>
          <w:sz w:val="28"/>
          <w:szCs w:val="28"/>
        </w:rPr>
        <w:t>（一）任务来源</w:t>
      </w:r>
    </w:p>
    <w:p w14:paraId="7565F8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sz w:val="24"/>
          <w:szCs w:val="24"/>
          <w:highlight w:val="none"/>
          <w:lang w:val="en-US" w:eastAsia="zh-CN"/>
        </w:rPr>
        <w:t>根据农业农村部办公厅《关于做好鳗苗生产管理工作的通知》（农办渔〔2023〕39号）《关于做好2025—2026年鳗苗生产管理工作的通知》（农办渔〔2025〕27号）要求</w:t>
      </w:r>
      <w:r>
        <w:rPr>
          <w:rFonts w:hint="eastAsia"/>
          <w:sz w:val="24"/>
          <w:szCs w:val="24"/>
          <w:highlight w:val="none"/>
        </w:rPr>
        <w:t>，</w:t>
      </w:r>
      <w:r>
        <w:rPr>
          <w:rFonts w:hint="eastAsia"/>
          <w:sz w:val="24"/>
          <w:szCs w:val="24"/>
          <w:highlight w:val="none"/>
          <w:lang w:val="en-US" w:eastAsia="zh-CN"/>
        </w:rPr>
        <w:t>为</w:t>
      </w:r>
      <w:r>
        <w:rPr>
          <w:rFonts w:hint="eastAsia"/>
          <w:sz w:val="24"/>
          <w:szCs w:val="24"/>
          <w:highlight w:val="none"/>
        </w:rPr>
        <w:t>完善资源监测</w:t>
      </w:r>
      <w:r>
        <w:rPr>
          <w:rFonts w:hint="eastAsia"/>
          <w:sz w:val="24"/>
          <w:szCs w:val="24"/>
          <w:highlight w:val="none"/>
          <w:lang w:eastAsia="zh-CN"/>
        </w:rPr>
        <w:t>、</w:t>
      </w:r>
      <w:r>
        <w:rPr>
          <w:rFonts w:hint="eastAsia"/>
          <w:sz w:val="24"/>
          <w:szCs w:val="24"/>
          <w:highlight w:val="none"/>
        </w:rPr>
        <w:t>构建追溯体系</w:t>
      </w:r>
      <w:r>
        <w:rPr>
          <w:rFonts w:hint="eastAsia"/>
          <w:sz w:val="24"/>
          <w:szCs w:val="24"/>
          <w:highlight w:val="none"/>
          <w:lang w:eastAsia="zh-CN"/>
        </w:rPr>
        <w:t>。农业农村部明确由</w:t>
      </w:r>
      <w:r>
        <w:rPr>
          <w:rFonts w:hint="eastAsia"/>
          <w:sz w:val="24"/>
          <w:szCs w:val="24"/>
          <w:highlight w:val="none"/>
        </w:rPr>
        <w:t>中国水产科学研究院东海水产研究所牵头做好鳗苗资源动态监测与分析工作，指导各地不断优化监测方法，做好产量统计</w:t>
      </w:r>
      <w:r>
        <w:rPr>
          <w:rFonts w:hint="eastAsia"/>
          <w:sz w:val="24"/>
          <w:szCs w:val="24"/>
          <w:highlight w:val="none"/>
          <w:lang w:eastAsia="zh-CN"/>
        </w:rPr>
        <w:t>，科学评估资源总量与变化趋势，及时汇总分析各地监测结论，江苏、上海、浙江、</w:t>
      </w:r>
      <w:r>
        <w:rPr>
          <w:rFonts w:hint="eastAsia"/>
          <w:sz w:val="24"/>
          <w:szCs w:val="24"/>
          <w:highlight w:val="none"/>
          <w:lang w:val="en-US" w:eastAsia="zh-CN"/>
        </w:rPr>
        <w:t>福建</w:t>
      </w:r>
      <w:r>
        <w:rPr>
          <w:rFonts w:hint="eastAsia"/>
          <w:sz w:val="24"/>
          <w:szCs w:val="24"/>
          <w:highlight w:val="none"/>
          <w:lang w:eastAsia="zh-CN"/>
        </w:rPr>
        <w:t>等省市渔业主管部门要进一步强化渔捞日志填报和定点上岸制度落实。</w:t>
      </w:r>
    </w:p>
    <w:p w14:paraId="6EB1E5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sz w:val="24"/>
          <w:szCs w:val="24"/>
          <w:highlight w:val="none"/>
          <w:lang w:eastAsia="zh-CN"/>
        </w:rPr>
        <w:t>在上述工作部署中，</w:t>
      </w:r>
      <w:r>
        <w:rPr>
          <w:rFonts w:hint="eastAsia"/>
          <w:sz w:val="24"/>
          <w:szCs w:val="24"/>
          <w:highlight w:val="none"/>
          <w:lang w:val="en-US" w:eastAsia="zh-CN"/>
        </w:rPr>
        <w:t>团体标准</w:t>
      </w:r>
      <w:r>
        <w:rPr>
          <w:rFonts w:hint="eastAsia"/>
          <w:sz w:val="24"/>
          <w:szCs w:val="24"/>
          <w:highlight w:val="none"/>
          <w:lang w:eastAsia="zh-CN"/>
        </w:rPr>
        <w:t>编写组在农业农村部持续支持下，逐步建立了长期、系统的鳗苗资源监测体系。自2014年起，通过农业农村部农业财政专项“长江口重要水生生物及产卵场、索饵场”项目（每年经费约200万元），在东经122.2度以西至徐六泾的长江口水域开展渔业资源和产卵场调查，鳗苗资源调查监测是其中重要组成部分，由此形成了适合长江口的鳗苗调查技术方法。2019年至2020年，依托农业农村部农业财政专项“鳗鲡资源调查和日本鳗鲡保护国家行动计划”（项目经费90万元）及后续政府购买服务项目（经费30万元），进一步深化了长江口鳗苗资源调查内容。2023年至2026年，通过农业农村部农业产业发展资金项目“珍贵濒危水生野生动物栖息地调查（鳗苗中华鲟）”（每年20万元），持续开展长江口鳗苗与中华鲟栖息地调查。2026年，依托农业农村部政府购买服务项目“鳗苗专项捕捞秩序评估”（19万元）及“限额捕捞、伏季休渔期间专项特许捕捞和鳗苗专项捕捞管理支撑”（40万元），进一步聚焦鳗苗专项捕捞的规范化管理。上述项目累计投入资金数百万元，形成了一套覆盖长江口及周边海域的鳗苗资源监测技术体系和数据积累，为鳗苗渔捞日志的标准化建设奠定了坚实的实践基础和数据支撑。</w:t>
      </w:r>
    </w:p>
    <w:p w14:paraId="78E6BA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sz w:val="24"/>
          <w:szCs w:val="24"/>
          <w:highlight w:val="none"/>
          <w:lang w:eastAsia="zh-CN"/>
        </w:rPr>
        <w:t>在上述工作框架中，浙江省海洋水产养殖研究所（浙江省海洋渔业环境与生物安全检验监测中心）作为浙江省鳗苗资源监测的主要技术支撑单位，协助浙江省渔业主管部门以改革创新方式做好鳗苗专项捕捞管理工作，合理研提温州市鳗苗综合管理新方案，循序渐进解决鳗苗捕捞历史遗留问题，同时还承担着温州、台州等浙江沿海重点区域的鳗苗专项特许捕捞资源跟踪监测任务，在鳗苗渔捞日志填报规范、数据采集与统计分析等方面积累了丰富的实践经验。在监测工作实践中，项目组发现当前各地鳗苗专项特许捕捞渔捞日志存在格式不统一、填报内容不规范、数据采集标准不一致等问题，影响了鳗苗资源监测数据的可比性和汇总分析的准确性，制约了全国鳗苗资源总量评估和趋势研判工作的深入开展。</w:t>
      </w:r>
    </w:p>
    <w:p w14:paraId="2943FC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sz w:val="24"/>
          <w:szCs w:val="24"/>
          <w:highlight w:val="none"/>
          <w:lang w:eastAsia="zh-CN"/>
        </w:rPr>
        <w:t>为进一步落实农业农村部关于“完善资源监测、构建追溯体系”的工作要求，统一鳗苗专项特许捕捞渔捞日志的格式和填报规范，提升鳗苗资源监测数据的标准化水平和可追溯能力，浙江省海洋水产养殖研究所（浙江省海洋渔业环境与生物安全检验监测中心）联合中国水产科学研究院东海水产研究所、上海海洋大学、浙江省海洋水产研究所、上海市水产研究所（上海市水产技术推广站）、江苏省海洋水产研究所</w:t>
      </w:r>
      <w:r>
        <w:rPr>
          <w:rFonts w:hint="eastAsia"/>
          <w:sz w:val="24"/>
          <w:szCs w:val="24"/>
          <w:highlight w:val="none"/>
          <w:lang w:val="en-US" w:eastAsia="zh-CN"/>
        </w:rPr>
        <w:t>与</w:t>
      </w:r>
      <w:r>
        <w:rPr>
          <w:rFonts w:hint="eastAsia"/>
          <w:sz w:val="24"/>
          <w:szCs w:val="24"/>
          <w:highlight w:val="none"/>
          <w:lang w:eastAsia="zh-CN"/>
        </w:rPr>
        <w:t>福建省水产研究所共同向中国水产学会申请制定《鳗苗专项特许渔捞日志规范》团体标准。</w:t>
      </w:r>
    </w:p>
    <w:p w14:paraId="52013B85">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黑体" w:hAnsi="黑体" w:eastAsia="黑体" w:cs="黑体"/>
          <w:b/>
          <w:bCs w:val="0"/>
          <w:sz w:val="28"/>
          <w:szCs w:val="28"/>
        </w:rPr>
      </w:pPr>
      <w:bookmarkStart w:id="10" w:name="_GoBack"/>
      <w:bookmarkEnd w:id="10"/>
    </w:p>
    <w:p w14:paraId="5E99D654">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default" w:ascii="黑体" w:hAnsi="黑体" w:eastAsia="黑体" w:cs="黑体"/>
          <w:b/>
          <w:bCs w:val="0"/>
          <w:sz w:val="28"/>
          <w:szCs w:val="28"/>
          <w:lang w:val="en-US" w:eastAsia="zh-CN"/>
        </w:rPr>
      </w:pPr>
      <w:r>
        <w:rPr>
          <w:rFonts w:hint="eastAsia" w:ascii="黑体" w:hAnsi="黑体" w:eastAsia="黑体" w:cs="黑体"/>
          <w:b/>
          <w:bCs w:val="0"/>
          <w:sz w:val="28"/>
          <w:szCs w:val="28"/>
        </w:rPr>
        <w:t>（</w:t>
      </w: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w:t>
      </w:r>
      <w:r>
        <w:rPr>
          <w:rFonts w:hint="eastAsia" w:ascii="黑体" w:hAnsi="黑体" w:eastAsia="黑体" w:cs="黑体"/>
          <w:b/>
          <w:bCs w:val="0"/>
          <w:sz w:val="28"/>
          <w:szCs w:val="28"/>
          <w:lang w:val="en-US" w:eastAsia="zh-CN"/>
        </w:rPr>
        <w:t>制定背景</w:t>
      </w:r>
    </w:p>
    <w:p w14:paraId="44F76D64">
      <w:pPr>
        <w:keepNext w:val="0"/>
        <w:keepLines w:val="0"/>
        <w:pageBreakBefore w:val="0"/>
        <w:widowControl w:val="0"/>
        <w:kinsoku/>
        <w:wordWrap/>
        <w:overflowPunct/>
        <w:topLinePunct w:val="0"/>
        <w:autoSpaceDE/>
        <w:autoSpaceDN/>
        <w:bidi w:val="0"/>
        <w:adjustRightInd/>
        <w:snapToGrid/>
        <w:ind w:firstLine="560"/>
        <w:textAlignment w:val="auto"/>
        <w:rPr>
          <w:rFonts w:hint="eastAsia"/>
          <w:sz w:val="24"/>
          <w:szCs w:val="24"/>
          <w:highlight w:val="none"/>
          <w:lang w:eastAsia="zh-CN"/>
        </w:rPr>
      </w:pPr>
      <w:r>
        <w:rPr>
          <w:rFonts w:hint="eastAsia"/>
          <w:sz w:val="24"/>
          <w:szCs w:val="24"/>
          <w:highlight w:val="none"/>
          <w:lang w:eastAsia="zh-CN"/>
        </w:rPr>
        <w:t>为实现</w:t>
      </w:r>
      <w:r>
        <w:rPr>
          <w:rFonts w:hint="eastAsia"/>
          <w:sz w:val="24"/>
          <w:szCs w:val="24"/>
          <w:highlight w:val="none"/>
          <w:lang w:val="en-US" w:eastAsia="zh-CN"/>
        </w:rPr>
        <w:t>鳗苗</w:t>
      </w:r>
      <w:r>
        <w:rPr>
          <w:rFonts w:hint="eastAsia"/>
          <w:sz w:val="24"/>
          <w:szCs w:val="24"/>
          <w:highlight w:val="none"/>
          <w:lang w:eastAsia="zh-CN"/>
        </w:rPr>
        <w:t>资源保护和可持续利用，根据渔业法等相关法律法规和农业农村部办公厅《关于做好鳗苗生产管理工作的通知》（农办渔〔2023〕39号）《关于做好2025—2026年鳗苗生产管理工作的通知》（农办渔〔2025〕27号）要求，我国对鳗苗实行专项特许制度、限额捕捞和追溯管理，江苏、上海、浙江等省市渔业主管部门要强化渔捞日志填报和定点上岸制度落实。全面准确地填报渔捞日志是落实该管理模式、实现科学监管的基础。然而，现行的日志填报与管理方式不相适应，制约了管理目标的实现，亟须完善日志填报要素与规范填补。</w:t>
      </w:r>
    </w:p>
    <w:p w14:paraId="42BEE15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ascii="Times New Roman" w:hAnsi="Times New Roman" w:eastAsia="宋体" w:cs="Times New Roman"/>
          <w:kern w:val="2"/>
          <w:sz w:val="24"/>
          <w:szCs w:val="24"/>
          <w:lang w:val="en-US" w:eastAsia="zh-CN" w:bidi="ar-SA"/>
        </w:rPr>
        <w:t>一、</w:t>
      </w:r>
      <w:r>
        <w:rPr>
          <w:rFonts w:hint="eastAsia"/>
          <w:sz w:val="24"/>
          <w:szCs w:val="24"/>
          <w:highlight w:val="none"/>
          <w:lang w:eastAsia="zh-CN"/>
        </w:rPr>
        <w:t>科学填报的需要，现行渔捞日志要求渔船在海上动态作业期间同步完成日志填报，不仅极大耗费渔民精力、影响正常生产，而且海上计数操作极易对鳗苗造成损伤，增加额外死亡率。更关键的是，在缺乏稳定环境和有效监督的海上，填报数据的随意性大、准确性低，无法为鳗苗资源评估、种群动态研究和科学养护决策提供真实、可靠的数据基础。本标准的核心突破在于将渔捞日志填报环节从不可控的海上转移至可控的定点上岸码头。渔民在完成捕捞、返港销售时，于定点上岸交易时进行填报，此举将大幅降低操作难度与抵触情绪，从源头上保障了数据填报的现场性、及时性与真实性。</w:t>
      </w:r>
    </w:p>
    <w:p w14:paraId="4A5C948D">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sz w:val="24"/>
          <w:szCs w:val="24"/>
          <w:highlight w:val="none"/>
          <w:lang w:eastAsia="zh-CN"/>
        </w:rPr>
      </w:pPr>
      <w:r>
        <w:rPr>
          <w:rFonts w:hint="eastAsia" w:ascii="Times New Roman" w:hAnsi="Times New Roman" w:eastAsia="宋体" w:cs="Times New Roman"/>
          <w:kern w:val="2"/>
          <w:sz w:val="24"/>
          <w:szCs w:val="24"/>
          <w:lang w:val="en-US" w:eastAsia="zh-CN" w:bidi="ar-SA"/>
        </w:rPr>
        <w:t>二、</w:t>
      </w:r>
      <w:r>
        <w:rPr>
          <w:rFonts w:hint="eastAsia"/>
          <w:sz w:val="24"/>
          <w:szCs w:val="24"/>
          <w:highlight w:val="none"/>
          <w:lang w:eastAsia="zh-CN"/>
        </w:rPr>
        <w:t>限额管理的需要，实施限额捕捞是控制捕捞强度、保护资源的核心措施，其准确与否关键在于能否获取真实、准确的捕捞量数据，特别是2026年5月1日新实施的《中华人民共和国渔业法》对限额捕捞提出了更高要求，当前海上填报方式难以避免的漏报、瞒报现象，使得限额管理更加被动。本标准通过建立“定点上岸、岸上填报”的约束流程，并结合交易环节，确保鳗苗渔获量都能被如实记录。这将为管理部门提供精准的产量数据，确保在达到配额时能够立即、有效地召回所有渔船，并收回专项捕捞特许证等措施。</w:t>
      </w:r>
    </w:p>
    <w:p w14:paraId="5C390546">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sz w:val="24"/>
          <w:szCs w:val="24"/>
          <w:highlight w:val="none"/>
          <w:lang w:eastAsia="zh-CN"/>
        </w:rPr>
      </w:pPr>
      <w:r>
        <w:rPr>
          <w:rFonts w:hint="eastAsia" w:ascii="Times New Roman" w:hAnsi="Times New Roman" w:eastAsia="宋体" w:cs="Times New Roman"/>
          <w:kern w:val="2"/>
          <w:sz w:val="24"/>
          <w:szCs w:val="24"/>
          <w:lang w:val="en-US" w:eastAsia="zh-CN" w:bidi="ar-SA"/>
        </w:rPr>
        <w:t>三、</w:t>
      </w:r>
      <w:r>
        <w:rPr>
          <w:rFonts w:hint="eastAsia"/>
          <w:sz w:val="24"/>
          <w:szCs w:val="24"/>
          <w:highlight w:val="none"/>
          <w:lang w:eastAsia="zh-CN"/>
        </w:rPr>
        <w:t>追溯统计的需要，当前鳗苗渔获上岸后，其收购、转运、交易过程缺乏信息记录与衔接要求，导致渔获物流向不明，总量统计链条断裂，监管存在空白，因此现有的渔捞日志已无法满足“精准溯源”要求，有必要制定鳗苗专项特许渔捞日志规范，要求其在交易时，销售商（船东）必须核对并记录销售信息到渔捞日志中，这将从捕捞端到销售端建立起完整的数据链条，使得每一批鳗苗的流通动向清晰可查，为打击非法交易与走私提供坚实的数据线索，彻底改变了流通环节的“盲区”现状。</w:t>
      </w:r>
    </w:p>
    <w:p w14:paraId="6D80EFE1">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textAlignment w:val="auto"/>
        <w:rPr>
          <w:rFonts w:hint="eastAsia"/>
          <w:sz w:val="24"/>
          <w:szCs w:val="24"/>
          <w:highlight w:val="none"/>
          <w:lang w:eastAsia="zh-CN"/>
        </w:rPr>
      </w:pPr>
      <w:r>
        <w:rPr>
          <w:rFonts w:hint="eastAsia" w:ascii="Times New Roman" w:hAnsi="Times New Roman" w:eastAsia="宋体" w:cs="Times New Roman"/>
          <w:kern w:val="2"/>
          <w:sz w:val="24"/>
          <w:szCs w:val="24"/>
          <w:lang w:val="en-US" w:eastAsia="zh-CN" w:bidi="ar-SA"/>
        </w:rPr>
        <w:t>四、</w:t>
      </w:r>
      <w:r>
        <w:rPr>
          <w:rFonts w:hint="eastAsia"/>
          <w:sz w:val="24"/>
          <w:szCs w:val="24"/>
          <w:highlight w:val="none"/>
          <w:lang w:eastAsia="zh-CN"/>
        </w:rPr>
        <w:t>强化规范管理的需要，我国海洋渔业大国，2025—2026年农业农村部核定鳗苗专项特许捕捞船2462艘，面对未知的捕捞规模和资源保护压力，亟须在全国层面建立统一的鳗苗渔捞日志规范，以强化对捕捞作业、渔获量及交易信息的有效监管。制定全国性的鳗苗专项捕捞渔捞日志标准，有利于统一数据采集口径，实现捕捞配额的精准管控，推动鳗苗资源的科学评估与可持续利用，是提升我国海洋渔业精细化管理水平的必要举措。</w:t>
      </w:r>
    </w:p>
    <w:p w14:paraId="3A7C5D81">
      <w:pPr>
        <w:adjustRightInd w:val="0"/>
        <w:snapToGrid w:val="0"/>
        <w:ind w:firstLine="643"/>
        <w:contextualSpacing/>
        <w:outlineLvl w:val="1"/>
        <w:rPr>
          <w:rFonts w:hint="eastAsia" w:ascii="仿宋" w:hAnsi="仿宋" w:eastAsia="仿宋"/>
          <w:b/>
          <w:sz w:val="32"/>
          <w:szCs w:val="32"/>
        </w:rPr>
      </w:pPr>
    </w:p>
    <w:p w14:paraId="0B2E2416">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default" w:ascii="黑体" w:hAnsi="黑体" w:eastAsia="黑体" w:cs="黑体"/>
          <w:b/>
          <w:bCs w:val="0"/>
          <w:sz w:val="28"/>
          <w:szCs w:val="28"/>
          <w:lang w:val="en-US" w:eastAsia="zh-CN"/>
        </w:rPr>
      </w:pPr>
      <w:r>
        <w:rPr>
          <w:rFonts w:hint="eastAsia" w:ascii="黑体" w:hAnsi="黑体" w:eastAsia="黑体" w:cs="黑体"/>
          <w:b/>
          <w:bCs w:val="0"/>
          <w:sz w:val="28"/>
          <w:szCs w:val="28"/>
        </w:rPr>
        <w:t>（</w:t>
      </w:r>
      <w:r>
        <w:rPr>
          <w:rFonts w:hint="eastAsia" w:ascii="黑体" w:hAnsi="黑体" w:eastAsia="黑体" w:cs="黑体"/>
          <w:b/>
          <w:bCs w:val="0"/>
          <w:sz w:val="28"/>
          <w:szCs w:val="28"/>
          <w:lang w:val="en-US" w:eastAsia="zh-CN"/>
        </w:rPr>
        <w:t>三</w:t>
      </w:r>
      <w:r>
        <w:rPr>
          <w:rFonts w:hint="eastAsia" w:ascii="黑体" w:hAnsi="黑体" w:eastAsia="黑体" w:cs="黑体"/>
          <w:b/>
          <w:bCs w:val="0"/>
          <w:sz w:val="28"/>
          <w:szCs w:val="28"/>
        </w:rPr>
        <w:t>）</w:t>
      </w:r>
      <w:r>
        <w:rPr>
          <w:rFonts w:hint="eastAsia" w:ascii="黑体" w:hAnsi="黑体" w:eastAsia="黑体" w:cs="黑体"/>
          <w:b/>
          <w:bCs w:val="0"/>
          <w:sz w:val="28"/>
          <w:szCs w:val="28"/>
          <w:lang w:val="en-US" w:eastAsia="zh-CN"/>
        </w:rPr>
        <w:t>协作单位</w:t>
      </w:r>
    </w:p>
    <w:p w14:paraId="435F0C30">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本标准由浙江省海洋水产养殖研究所（浙江省海洋渔业环境与生物安全检验监测中心）牵头组织，中国水产科学研究院东海水产研究所、上海海洋大学、浙江省海洋水产研究所、上海市水产研究所（上海市水产技术推广站）、江苏省海洋水产研究所与福建省水产研究所等为主要起草单位。</w:t>
      </w:r>
    </w:p>
    <w:p w14:paraId="5F0ED5FA">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浙江省海洋水产养殖研究所（浙江省海洋渔业环境与生物安全检验监测中心）隶属于浙江省海洋经济发展厅，是一所综合性的省级海洋与渔业公益性科研机构，先后承担了国际、国家级、省部地市级科研项目750余项，获得国家及有关部门奖励112项。近年来根据国家经济建设和科技创新需要，实时拓展学科，从建所伊始单一从事渔业资源环境调查研究和海水苗种繁育养殖技术研究推广领域，发展为集养殖品种遗传育种、健康养殖、病害防控、海洋资源和环境调查评估与生态修复、海域海岛综合管理等五大领域，涵盖三十余个研究方向，形成了优势突出、多学科并进的科研创新体系。一系列原创性研究成果解决了行业的发展瓶颈并得以广泛推广应用，带动了泥蚶、南美白对虾等一批海水养殖特色产业带的兴起，极大促进了沿海渔民增收致富，率先在国内提出海洋生态文明理念，在红树林北移、海洋生态红线制度、海洋环境资源承载力等研究方面获得突破性进展，取得了显著的经济、社会和生态效益，为</w:t>
      </w:r>
      <w:r>
        <w:rPr>
          <w:rFonts w:hint="eastAsia"/>
          <w:sz w:val="24"/>
          <w:szCs w:val="24"/>
          <w:highlight w:val="none"/>
          <w:lang w:val="en-US" w:eastAsia="zh-CN"/>
        </w:rPr>
        <w:t>浙江</w:t>
      </w:r>
      <w:r>
        <w:rPr>
          <w:rFonts w:hint="eastAsia"/>
          <w:sz w:val="24"/>
          <w:szCs w:val="24"/>
          <w:highlight w:val="none"/>
          <w:lang w:eastAsia="zh-CN"/>
        </w:rPr>
        <w:t>省海洋渔业科学事业的发展和渔业经济建设作出了突出贡献。</w:t>
      </w:r>
    </w:p>
    <w:p w14:paraId="6A2E20FC">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中国水产科学研究院东海水产研究所是国家综合性渔业研究机构，研究所承担我国渔业发展中的全局性、基础性、关键性和方向性的重大科技任务，为我国渔业科技进步、行业管理和产业发展提供服务。主要开展远洋与极地渔业资源开发、河口与近海渔业生态学、渔业资源保护及利用、捕捞与渔业工程、渔业生态环境评价与保护、水产养殖技术、水产遗传育种与生物技术、水产品加工与质量安全、渔业信息与战略等研究。</w:t>
      </w:r>
    </w:p>
    <w:p w14:paraId="66717661">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上海海洋大学是多科性应用研究型大学，是上海市人民政府与国家海洋局、农业农村部共建高校。2017年9月入选国家“世界一流学科建设高校”。拥有国家一流建设学科1个、国家重点学科1个、上海高校高峰高原学科3个、上海高校一流学科3个、省部级重点学科9个。植物与动物科学、农业科学两个学科进入 ESI 国际学科排名全球前 1%，水产学在全国第四轮学科评估中获A+评级。</w:t>
      </w:r>
    </w:p>
    <w:p w14:paraId="37DF7C39">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浙江省海洋水产研究所</w:t>
      </w:r>
      <w:r>
        <w:rPr>
          <w:rFonts w:hint="eastAsia"/>
          <w:sz w:val="24"/>
          <w:szCs w:val="24"/>
          <w:highlight w:val="none"/>
          <w:lang w:val="en-US" w:eastAsia="zh-CN"/>
        </w:rPr>
        <w:t>是</w:t>
      </w:r>
      <w:r>
        <w:rPr>
          <w:rFonts w:hint="eastAsia"/>
          <w:sz w:val="24"/>
          <w:szCs w:val="24"/>
          <w:highlight w:val="none"/>
          <w:lang w:eastAsia="zh-CN"/>
        </w:rPr>
        <w:t>一个从事以海洋渔业研究为主的公益类省属科研机构，2001年成建制进入浙江海洋大学，实行浙江海洋大学和浙江省海洋经济发展厅共建共管。研究所以海洋渔业资源与生态、海水增养殖、海洋与渔业环境、水产品加工与质量安全研究和服务为重点，同时开展海水养殖病害防治、海洋捕捞、远洋渔业、船舶工程设计等相关领域的科研与技术服务等社会公益性工作。</w:t>
      </w:r>
    </w:p>
    <w:p w14:paraId="27BB508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sz w:val="24"/>
          <w:szCs w:val="24"/>
          <w:highlight w:val="none"/>
          <w:lang w:eastAsia="zh-CN"/>
        </w:rPr>
        <w:t>上海市水产研究所（上海市水产技术推广站）是一家集水产科研、技术示范推广、培训及水产品质量安全检测为一体的公益性事业单位，所（站）位于佳木斯路265号，所（站）科研成果显著，技术力量雄厚。30多年来，获得国家级、省部级等各项科技奖励60余项，其中国家级科技奖励4项，省部级科技奖励33项，其中一等奖10项，各类专利80余项，为上海水产事业发展提供了有力支撑。</w:t>
      </w:r>
    </w:p>
    <w:p w14:paraId="52FC032C">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江苏省海洋水产研究</w:t>
      </w:r>
      <w:r>
        <w:rPr>
          <w:rFonts w:hint="eastAsia"/>
          <w:sz w:val="24"/>
          <w:szCs w:val="24"/>
          <w:highlight w:val="none"/>
          <w:lang w:val="en-US" w:eastAsia="zh-CN"/>
        </w:rPr>
        <w:t>所</w:t>
      </w:r>
      <w:r>
        <w:rPr>
          <w:rFonts w:hint="eastAsia"/>
          <w:sz w:val="24"/>
          <w:szCs w:val="24"/>
          <w:highlight w:val="none"/>
          <w:lang w:eastAsia="zh-CN"/>
        </w:rPr>
        <w:t>是江苏省农业农村厅和江苏省科技厅双重领导的直属事业单位，是江苏省唯一专业从事海洋与渔业公益性研究的省属科研机构，研究所主要开展水产种质资源保护与良种选育、渔业水域生态环境保护与可持续利用、水产疫病灾变规律与预控、水产品质量与安全等研究，以及名优新水产品种的规模化繁育与良种示范推广、渔业公共技术协同攻关咨询与科技中介服务等。</w:t>
      </w:r>
    </w:p>
    <w:p w14:paraId="19492F63">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福建省水产研究所隶属福建省海洋与渔业局，是一个公益型、多学科、综合性的省级海洋与渔业研究机构。主要从事海洋生物技术、海水养殖新品种繁育和养殖技术、水产养殖病害监测和防治、海洋渔业资源调查与开发管理、渔业环境调查与监测、渔业工程与装备、海洋工程勘察与可行性调查、海洋功能区划与海域使用论证、水产品综合加工和水产品质量安全等研究。2007年以来，获国家科技进步二等奖1项，省科技进步二等奖4项、三等奖6项，省标准贡献三等奖3项，国家海洋创新成果一等奖1项、二等奖2项，厦门市科技进步二等奖2项、三等奖9项。</w:t>
      </w:r>
    </w:p>
    <w:p w14:paraId="686D300B">
      <w:pPr>
        <w:numPr>
          <w:ilvl w:val="0"/>
          <w:numId w:val="0"/>
        </w:numPr>
        <w:ind w:left="0" w:leftChars="0" w:firstLine="480" w:firstLineChars="200"/>
        <w:rPr>
          <w:rFonts w:hint="eastAsia"/>
          <w:sz w:val="24"/>
          <w:szCs w:val="24"/>
          <w:highlight w:val="none"/>
          <w:lang w:eastAsia="zh-CN"/>
        </w:rPr>
      </w:pPr>
    </w:p>
    <w:p w14:paraId="39770D77">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黑体" w:hAnsi="黑体" w:eastAsia="黑体" w:cs="黑体"/>
          <w:b/>
          <w:bCs w:val="0"/>
          <w:sz w:val="28"/>
          <w:szCs w:val="28"/>
        </w:rPr>
      </w:pPr>
      <w:r>
        <w:rPr>
          <w:rFonts w:hint="eastAsia" w:ascii="黑体" w:hAnsi="黑体" w:eastAsia="黑体" w:cs="黑体"/>
          <w:b/>
          <w:bCs w:val="0"/>
          <w:sz w:val="28"/>
          <w:szCs w:val="28"/>
        </w:rPr>
        <w:t>（</w:t>
      </w:r>
      <w:r>
        <w:rPr>
          <w:rFonts w:hint="eastAsia" w:ascii="黑体" w:hAnsi="黑体" w:eastAsia="黑体" w:cs="黑体"/>
          <w:b/>
          <w:bCs w:val="0"/>
          <w:sz w:val="28"/>
          <w:szCs w:val="28"/>
          <w:lang w:val="en-US" w:eastAsia="zh-CN"/>
        </w:rPr>
        <w:t>四</w:t>
      </w:r>
      <w:r>
        <w:rPr>
          <w:rFonts w:hint="eastAsia" w:ascii="黑体" w:hAnsi="黑体" w:eastAsia="黑体" w:cs="黑体"/>
          <w:b/>
          <w:bCs w:val="0"/>
          <w:sz w:val="28"/>
          <w:szCs w:val="28"/>
        </w:rPr>
        <w:t>）主要工作过程</w:t>
      </w:r>
    </w:p>
    <w:p w14:paraId="15BD22FA">
      <w:pPr>
        <w:ind w:firstLine="480"/>
        <w:rPr>
          <w:rFonts w:hint="default" w:ascii="Times New Roman" w:hAnsi="Times New Roman" w:eastAsia="宋体" w:cs="Times New Roman"/>
          <w:b/>
          <w:bCs/>
          <w:sz w:val="24"/>
          <w:szCs w:val="24"/>
          <w:shd w:val="clear" w:color="auto" w:fill="auto"/>
          <w:lang w:val="en-US" w:eastAsia="zh-CN"/>
        </w:rPr>
      </w:pPr>
      <w:r>
        <w:rPr>
          <w:rFonts w:hint="eastAsia" w:ascii="Times New Roman" w:hAnsi="Times New Roman" w:eastAsia="宋体" w:cs="Times New Roman"/>
          <w:b/>
          <w:bCs/>
          <w:sz w:val="24"/>
          <w:szCs w:val="24"/>
          <w:shd w:val="clear" w:color="auto" w:fill="auto"/>
          <w:lang w:val="en-US" w:eastAsia="zh-CN"/>
        </w:rPr>
        <w:t>1.工作基础</w:t>
      </w:r>
    </w:p>
    <w:p w14:paraId="15DF8638">
      <w:pPr>
        <w:numPr>
          <w:ilvl w:val="0"/>
          <w:numId w:val="0"/>
        </w:numPr>
        <w:ind w:firstLine="480" w:firstLineChars="200"/>
        <w:rPr>
          <w:rFonts w:hint="eastAsia"/>
          <w:sz w:val="24"/>
          <w:szCs w:val="24"/>
          <w:highlight w:val="none"/>
          <w:lang w:eastAsia="zh-CN"/>
        </w:rPr>
      </w:pPr>
      <w:r>
        <w:rPr>
          <w:rFonts w:hint="eastAsia"/>
          <w:sz w:val="24"/>
          <w:szCs w:val="24"/>
          <w:highlight w:val="none"/>
          <w:lang w:eastAsia="zh-CN"/>
        </w:rPr>
        <w:t>浙江省海洋水产养殖研究所（浙江省海洋渔业环境与生物安全检验监测中心）作为浙江省鳗苗资源监测的主要技术支撑单位，长期承担温州、台州等浙江沿海重点区域的鳗苗专项特许捕捞资源跟踪监测任务，在鳗苗渔捞日志填报规范、数据采集与统计分析等方面积累了丰富的实践经验。与此同时，中国水产科学研究院东海水产研究所自2014年起，在农业农村部持续支持下，每年鳗苗捕捞季均在长江口开展系统的鳗苗资源调查监测，涵盖资源量评估、苗讯特征分析、捕捞网具种类调查与数量统计、鳗苗形态特征与生理生化特征测定等内容。2019年起，调查范围进一步扩展至江苏、浙江、上海等省市。2024年始，农业农村部在《关于做好鳗苗生产管理工作的通知》中明确要求上海、江苏、浙江、福建、广东等省份将所辖海域鳗苗监测数据统一提交至中国水产科学研究院东海水产研究所，由</w:t>
      </w:r>
      <w:r>
        <w:rPr>
          <w:rFonts w:hint="eastAsia"/>
          <w:sz w:val="24"/>
          <w:szCs w:val="24"/>
          <w:highlight w:val="none"/>
          <w:lang w:val="en-US" w:eastAsia="zh-CN"/>
        </w:rPr>
        <w:t>其</w:t>
      </w:r>
      <w:r>
        <w:rPr>
          <w:rFonts w:hint="eastAsia"/>
          <w:sz w:val="24"/>
          <w:szCs w:val="24"/>
          <w:highlight w:val="none"/>
          <w:lang w:eastAsia="zh-CN"/>
        </w:rPr>
        <w:t>汇总分析后报农业农村部渔业渔政管理局。上述长期系统的监测工作，为全面掌握我国沿海鳗苗资源状况积累了丰富的基础数据，也为发现各地渔捞日志格式不统一、数据采集标准不一致等问题提供了实践依据。</w:t>
      </w:r>
    </w:p>
    <w:p w14:paraId="5E690E4F">
      <w:pPr>
        <w:ind w:firstLine="480"/>
        <w:rPr>
          <w:rFonts w:hint="eastAsia" w:ascii="Times New Roman" w:hAnsi="Times New Roman" w:eastAsia="宋体" w:cs="Times New Roman"/>
          <w:b/>
          <w:bCs/>
          <w:sz w:val="24"/>
          <w:szCs w:val="24"/>
          <w:shd w:val="clear" w:color="auto" w:fill="auto"/>
          <w:lang w:val="en-US" w:eastAsia="zh-CN"/>
        </w:rPr>
      </w:pPr>
      <w:r>
        <w:rPr>
          <w:rFonts w:hint="eastAsia" w:ascii="Times New Roman" w:hAnsi="Times New Roman" w:eastAsia="宋体" w:cs="Times New Roman"/>
          <w:b/>
          <w:bCs/>
          <w:sz w:val="24"/>
          <w:szCs w:val="24"/>
          <w:shd w:val="clear" w:color="auto" w:fill="auto"/>
          <w:lang w:val="en-US" w:eastAsia="zh-CN"/>
        </w:rPr>
        <w:t>2. 标准预研与立项阶段</w:t>
      </w:r>
    </w:p>
    <w:p w14:paraId="7C0D1E58">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在长期的鳗苗资源监测实践中，浙江省海洋水产养殖研究所（浙江省海洋渔业环境与生物安全检验监测中心）发现各地鳗苗渔捞日志普遍存在格式差异大、填报内容不规范、关键数据缺失等问题，直接影响鳗苗资源监测数据的可比性和汇总分析的准确性。为此，浙江省海洋水产养殖研究（浙江省海洋渔业环境与生物安全检验监测中心）所联合中国水产科学研究院东海水产研究所等单位，就制定统一的鳗苗专项特许渔捞日志规范开展前期调研，系统梳理了浙江、上海、江苏、福建等地现行渔捞日志的格式差异和共性问题。</w:t>
      </w:r>
    </w:p>
    <w:p w14:paraId="76578D12">
      <w:pPr>
        <w:numPr>
          <w:ilvl w:val="0"/>
          <w:numId w:val="2"/>
        </w:numPr>
        <w:ind w:firstLine="480"/>
        <w:rPr>
          <w:rFonts w:hint="eastAsia" w:ascii="Times New Roman" w:hAnsi="Times New Roman" w:eastAsia="宋体" w:cs="Times New Roman"/>
          <w:b/>
          <w:bCs/>
          <w:sz w:val="24"/>
          <w:szCs w:val="24"/>
          <w:shd w:val="clear" w:color="auto" w:fill="auto"/>
          <w:lang w:val="en-US" w:eastAsia="zh-CN"/>
        </w:rPr>
      </w:pPr>
      <w:r>
        <w:rPr>
          <w:rFonts w:hint="eastAsia" w:ascii="Times New Roman" w:hAnsi="Times New Roman" w:eastAsia="宋体" w:cs="Times New Roman"/>
          <w:b/>
          <w:bCs/>
          <w:sz w:val="24"/>
          <w:szCs w:val="24"/>
          <w:shd w:val="clear" w:color="auto" w:fill="auto"/>
          <w:lang w:val="en-US" w:eastAsia="zh-CN"/>
        </w:rPr>
        <w:t>标准起草阶段</w:t>
      </w:r>
    </w:p>
    <w:p w14:paraId="2019BBF4">
      <w:pPr>
        <w:numPr>
          <w:ilvl w:val="0"/>
          <w:numId w:val="0"/>
        </w:numPr>
        <w:ind w:left="0" w:leftChars="0" w:firstLine="480" w:firstLineChars="200"/>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2025年6月，标准</w:t>
      </w: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成立后，正式启动文件编制工作，明确了文件编制思路、主要内容和结构以及分工安排。</w:t>
      </w: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坚持以全国性视野统领调研工作，全面覆盖了全国范围内从事海洋渔业资源研究的科研院所、高校、技术推广机构和福建鳗苗龙头企业，通过线上线下相结合的方式，累计调研了上海、江苏、浙江、福建、广东等5个鳗苗主产省份的生产一线。</w:t>
      </w: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对前期调研收集的各类鳗苗渔捞日志进行了系统分析，确定了本标准的核心内容框架和关键技术指标，并邀请全国水产标准化技术委员会专家作辅导。同时，</w:t>
      </w: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广泛收集并系统整理了相关国家、行业和地方标准以及学术论文、论著、调研报告等资料，为标准起草奠定了坚实的文献基础。</w:t>
      </w:r>
    </w:p>
    <w:p w14:paraId="7157FB55">
      <w:pPr>
        <w:numPr>
          <w:ilvl w:val="0"/>
          <w:numId w:val="0"/>
        </w:numPr>
        <w:ind w:left="0" w:leftChars="0" w:firstLine="480" w:firstLineChars="200"/>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2025年11月至12月，</w:t>
      </w: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以标准草案为基础，通过电话、电子邮件和腾讯会议等形式，与鳗苗资源监测的相关单位、大学、科研院所的多位技术专家和渔业协会一线生产专家进行了多次交流探讨，重点就渔捞日志的格式设计、填报要素、数据采集规范等技术内容征询专家意见。在此基础上，邀请中国水产科学研究院东海水产研究所、上海海洋大学、上海市水产研究所、浙江省海洋水产研究所、福建省水产研究所</w:t>
      </w:r>
      <w:r>
        <w:rPr>
          <w:rFonts w:hint="eastAsia" w:cs="Times New Roman"/>
          <w:sz w:val="24"/>
          <w:szCs w:val="24"/>
          <w:highlight w:val="none"/>
          <w:lang w:val="en-US" w:eastAsia="zh-CN"/>
        </w:rPr>
        <w:t>与宁波大学</w:t>
      </w:r>
      <w:r>
        <w:rPr>
          <w:rFonts w:hint="eastAsia" w:ascii="Times New Roman" w:hAnsi="Times New Roman" w:eastAsia="宋体" w:cs="Times New Roman"/>
          <w:sz w:val="24"/>
          <w:szCs w:val="24"/>
          <w:highlight w:val="none"/>
          <w:lang w:val="en-US" w:eastAsia="zh-CN"/>
        </w:rPr>
        <w:t>等单位专家对标准编制进行征询，根据专家提出的修改意见，</w:t>
      </w: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对每一条意见逐条研究，充分采纳合理建议，对标准草案进行修改完善，于2025年12月完成了标准征求意见稿和编制说明。</w:t>
      </w:r>
    </w:p>
    <w:p w14:paraId="2D51E4E6">
      <w:pPr>
        <w:numPr>
          <w:ilvl w:val="0"/>
          <w:numId w:val="0"/>
        </w:numPr>
        <w:ind w:left="0" w:leftChars="0" w:firstLine="480" w:firstLineChars="200"/>
        <w:rPr>
          <w:rFonts w:hint="eastAsia" w:ascii="Times New Roman" w:hAnsi="Times New Roman" w:eastAsia="宋体" w:cs="Times New Roman"/>
          <w:sz w:val="24"/>
          <w:szCs w:val="24"/>
          <w:highlight w:val="none"/>
          <w:lang w:val="en-US" w:eastAsia="zh-CN"/>
        </w:rPr>
      </w:pPr>
    </w:p>
    <w:p w14:paraId="58B9F426">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265420" cy="3004820"/>
            <wp:effectExtent l="0" t="0" r="5080" b="508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3"/>
                    <a:stretch>
                      <a:fillRect/>
                    </a:stretch>
                  </pic:blipFill>
                  <pic:spPr>
                    <a:xfrm>
                      <a:off x="0" y="0"/>
                      <a:ext cx="5265420" cy="3004820"/>
                    </a:xfrm>
                    <a:prstGeom prst="rect">
                      <a:avLst/>
                    </a:prstGeom>
                    <a:noFill/>
                    <a:ln>
                      <a:noFill/>
                    </a:ln>
                  </pic:spPr>
                </pic:pic>
              </a:graphicData>
            </a:graphic>
          </wp:inline>
        </w:drawing>
      </w:r>
    </w:p>
    <w:p w14:paraId="4507256D">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266690" cy="3529965"/>
            <wp:effectExtent l="0" t="0" r="381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4"/>
                    <a:stretch>
                      <a:fillRect/>
                    </a:stretch>
                  </pic:blipFill>
                  <pic:spPr>
                    <a:xfrm>
                      <a:off x="0" y="0"/>
                      <a:ext cx="5266690" cy="3529965"/>
                    </a:xfrm>
                    <a:prstGeom prst="rect">
                      <a:avLst/>
                    </a:prstGeom>
                    <a:noFill/>
                    <a:ln>
                      <a:noFill/>
                    </a:ln>
                  </pic:spPr>
                </pic:pic>
              </a:graphicData>
            </a:graphic>
          </wp:inline>
        </w:drawing>
      </w:r>
    </w:p>
    <w:p w14:paraId="4834F0C8">
      <w:pPr>
        <w:ind w:firstLine="480"/>
        <w:jc w:val="center"/>
        <w:rPr>
          <w:rFonts w:hint="eastAsia" w:eastAsia="楷体"/>
          <w:sz w:val="24"/>
          <w:szCs w:val="21"/>
          <w:lang w:val="en-US" w:eastAsia="zh-CN"/>
        </w:rPr>
      </w:pPr>
      <w:r>
        <w:rPr>
          <w:rFonts w:hint="eastAsia" w:eastAsia="楷体"/>
          <w:sz w:val="24"/>
          <w:szCs w:val="21"/>
        </w:rPr>
        <w:t>图1 《鳗苗专项特许渔捞日志规范》</w:t>
      </w:r>
      <w:r>
        <w:rPr>
          <w:rFonts w:hint="eastAsia" w:eastAsia="楷体"/>
          <w:sz w:val="24"/>
          <w:szCs w:val="21"/>
          <w:lang w:val="en-US" w:eastAsia="zh-CN"/>
        </w:rPr>
        <w:t>样本</w:t>
      </w:r>
    </w:p>
    <w:p w14:paraId="46B18FCC">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黑体" w:hAnsi="黑体" w:eastAsia="黑体" w:cs="黑体"/>
          <w:b/>
          <w:bCs w:val="0"/>
          <w:sz w:val="28"/>
          <w:szCs w:val="28"/>
        </w:rPr>
      </w:pPr>
      <w:r>
        <w:rPr>
          <w:rFonts w:hint="eastAsia" w:ascii="黑体" w:hAnsi="黑体" w:eastAsia="黑体" w:cs="黑体"/>
          <w:b/>
          <w:bCs w:val="0"/>
          <w:sz w:val="28"/>
          <w:szCs w:val="28"/>
        </w:rPr>
        <w:t>（四）编写组成员及其所做的主要工作</w:t>
      </w:r>
    </w:p>
    <w:p w14:paraId="4F9BE9E9">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《鳗苗专项特许渔捞日志规范》全体起草人员共同参与了工作组会议讨论，并以会议为主完成了标准文本的讨论与修改工作。</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2840"/>
        <w:gridCol w:w="4546"/>
      </w:tblGrid>
      <w:tr w14:paraId="6364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tcPr>
          <w:p w14:paraId="7CA3B906">
            <w:pPr>
              <w:numPr>
                <w:ilvl w:val="0"/>
                <w:numId w:val="0"/>
              </w:numPr>
              <w:jc w:val="center"/>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姓名</w:t>
            </w:r>
          </w:p>
        </w:tc>
        <w:tc>
          <w:tcPr>
            <w:tcW w:w="2840" w:type="dxa"/>
          </w:tcPr>
          <w:p w14:paraId="1B9E6C75">
            <w:pPr>
              <w:numPr>
                <w:ilvl w:val="0"/>
                <w:numId w:val="0"/>
              </w:numPr>
              <w:ind w:firstLine="723" w:firstLineChars="300"/>
              <w:jc w:val="both"/>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工作单位</w:t>
            </w:r>
          </w:p>
        </w:tc>
        <w:tc>
          <w:tcPr>
            <w:tcW w:w="4546" w:type="dxa"/>
          </w:tcPr>
          <w:p w14:paraId="51D69315">
            <w:pPr>
              <w:numPr>
                <w:ilvl w:val="0"/>
                <w:numId w:val="0"/>
              </w:numPr>
              <w:jc w:val="center"/>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项目分工</w:t>
            </w:r>
          </w:p>
        </w:tc>
      </w:tr>
      <w:tr w14:paraId="640F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55E17C31">
            <w:pPr>
              <w:numPr>
                <w:ilvl w:val="0"/>
                <w:numId w:val="0"/>
              </w:num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刘伟成</w:t>
            </w:r>
          </w:p>
        </w:tc>
        <w:tc>
          <w:tcPr>
            <w:tcW w:w="2840" w:type="dxa"/>
            <w:vAlign w:val="center"/>
          </w:tcPr>
          <w:p w14:paraId="77CA82D7">
            <w:pPr>
              <w:numPr>
                <w:ilvl w:val="0"/>
                <w:numId w:val="0"/>
              </w:numPr>
              <w:jc w:val="both"/>
              <w:rPr>
                <w:rFonts w:hint="eastAsia"/>
                <w:sz w:val="24"/>
                <w:szCs w:val="24"/>
                <w:highlight w:val="none"/>
                <w:vertAlign w:val="baseline"/>
                <w:lang w:eastAsia="zh-CN"/>
              </w:rPr>
            </w:pPr>
            <w:r>
              <w:rPr>
                <w:rFonts w:hint="eastAsia"/>
                <w:sz w:val="24"/>
                <w:szCs w:val="24"/>
                <w:highlight w:val="none"/>
                <w:lang w:eastAsia="zh-CN"/>
              </w:rPr>
              <w:t>浙江省海洋水产养殖研究所（浙江省海洋渔业环境与生物安全检验监测中心）</w:t>
            </w:r>
          </w:p>
        </w:tc>
        <w:tc>
          <w:tcPr>
            <w:tcW w:w="4546" w:type="dxa"/>
            <w:vAlign w:val="center"/>
          </w:tcPr>
          <w:p w14:paraId="5F74139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sz w:val="24"/>
                <w:szCs w:val="24"/>
                <w:highlight w:val="none"/>
                <w:vertAlign w:val="baseline"/>
                <w:lang w:val="en-US" w:eastAsia="zh-CN"/>
              </w:rPr>
            </w:pPr>
            <w:r>
              <w:rPr>
                <w:rFonts w:hint="eastAsia" w:cs="Times New Roman"/>
                <w:sz w:val="24"/>
                <w:szCs w:val="24"/>
                <w:highlight w:val="none"/>
                <w:lang w:val="en-US" w:eastAsia="zh-CN"/>
              </w:rPr>
              <w:t>编写组</w:t>
            </w:r>
            <w:r>
              <w:rPr>
                <w:rFonts w:hint="eastAsia" w:ascii="Times New Roman" w:hAnsi="Times New Roman" w:eastAsia="宋体" w:cs="Times New Roman"/>
                <w:sz w:val="24"/>
                <w:szCs w:val="24"/>
                <w:highlight w:val="none"/>
                <w:lang w:val="en-US" w:eastAsia="zh-CN"/>
              </w:rPr>
              <w:t>负责人，负责标准的统筹协调、全面管理、整体实施和标准内容设计</w:t>
            </w:r>
          </w:p>
        </w:tc>
      </w:tr>
      <w:tr w14:paraId="453E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1C59C1F6">
            <w:pPr>
              <w:numPr>
                <w:ilvl w:val="0"/>
                <w:numId w:val="0"/>
              </w:num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赵峰</w:t>
            </w:r>
          </w:p>
        </w:tc>
        <w:tc>
          <w:tcPr>
            <w:tcW w:w="2840" w:type="dxa"/>
            <w:vAlign w:val="center"/>
          </w:tcPr>
          <w:p w14:paraId="44353DEC">
            <w:pPr>
              <w:numPr>
                <w:ilvl w:val="0"/>
                <w:numId w:val="0"/>
              </w:numPr>
              <w:jc w:val="both"/>
              <w:rPr>
                <w:rFonts w:hint="eastAsia"/>
                <w:sz w:val="24"/>
                <w:szCs w:val="24"/>
                <w:highlight w:val="none"/>
                <w:vertAlign w:val="baseline"/>
                <w:lang w:eastAsia="zh-CN"/>
              </w:rPr>
            </w:pPr>
            <w:r>
              <w:rPr>
                <w:rFonts w:hint="eastAsia" w:ascii="Times New Roman" w:hAnsi="Times New Roman" w:eastAsia="宋体" w:cs="Times New Roman"/>
                <w:sz w:val="24"/>
                <w:szCs w:val="24"/>
                <w:highlight w:val="none"/>
                <w:lang w:val="en-US" w:eastAsia="zh-CN"/>
              </w:rPr>
              <w:t>中国水产科学研究院东海水产研究所</w:t>
            </w:r>
          </w:p>
        </w:tc>
        <w:tc>
          <w:tcPr>
            <w:tcW w:w="4546" w:type="dxa"/>
            <w:vAlign w:val="center"/>
          </w:tcPr>
          <w:p w14:paraId="7A999D12">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负责标准框架设定，参与标准编写、</w:t>
            </w:r>
            <w:r>
              <w:rPr>
                <w:rFonts w:hint="eastAsia" w:ascii="FZShuSong-Z01" w:hAnsi="FZShuSong-Z01" w:eastAsia="FZShuSong-Z01" w:cs="FZShuSong-Z01"/>
                <w:color w:val="000000"/>
                <w:kern w:val="0"/>
                <w:sz w:val="24"/>
                <w:szCs w:val="24"/>
                <w:lang w:val="en-US" w:eastAsia="zh-CN" w:bidi="ar"/>
              </w:rPr>
              <w:t>技术指导</w:t>
            </w:r>
          </w:p>
        </w:tc>
      </w:tr>
      <w:tr w14:paraId="0BA0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7628CCE1">
            <w:pPr>
              <w:numPr>
                <w:ilvl w:val="0"/>
                <w:numId w:val="0"/>
              </w:numPr>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乔家乐</w:t>
            </w:r>
          </w:p>
        </w:tc>
        <w:tc>
          <w:tcPr>
            <w:tcW w:w="2840" w:type="dxa"/>
            <w:vAlign w:val="center"/>
          </w:tcPr>
          <w:p w14:paraId="23E31B9C">
            <w:pPr>
              <w:numPr>
                <w:ilvl w:val="0"/>
                <w:numId w:val="0"/>
              </w:numPr>
              <w:jc w:val="both"/>
              <w:rPr>
                <w:rFonts w:hint="eastAsia"/>
                <w:sz w:val="24"/>
                <w:szCs w:val="24"/>
                <w:highlight w:val="none"/>
                <w:vertAlign w:val="baseline"/>
                <w:lang w:eastAsia="zh-CN"/>
              </w:rPr>
            </w:pPr>
            <w:r>
              <w:rPr>
                <w:rFonts w:hint="eastAsia"/>
                <w:sz w:val="24"/>
                <w:szCs w:val="24"/>
                <w:highlight w:val="none"/>
                <w:lang w:eastAsia="zh-CN"/>
              </w:rPr>
              <w:t>浙江省海洋水产养殖研究所（浙江省海洋渔业环境与生物安全检验监测中心）</w:t>
            </w:r>
          </w:p>
        </w:tc>
        <w:tc>
          <w:tcPr>
            <w:tcW w:w="4546" w:type="dxa"/>
            <w:vAlign w:val="center"/>
          </w:tcPr>
          <w:p w14:paraId="51F3D7FA">
            <w:pPr>
              <w:keepNext w:val="0"/>
              <w:keepLines w:val="0"/>
              <w:widowControl/>
              <w:suppressLineNumbers w:val="0"/>
              <w:ind w:left="0" w:leftChars="0" w:firstLine="0" w:firstLineChars="0"/>
              <w:jc w:val="both"/>
              <w:rPr>
                <w:rFonts w:hint="eastAsia"/>
                <w:sz w:val="24"/>
                <w:szCs w:val="24"/>
                <w:highlight w:val="none"/>
                <w:vertAlign w:val="baseline"/>
                <w:lang w:eastAsia="zh-CN"/>
              </w:rPr>
            </w:pPr>
            <w:r>
              <w:rPr>
                <w:rFonts w:ascii="FZShuSong-Z01" w:hAnsi="FZShuSong-Z01" w:eastAsia="FZShuSong-Z01" w:cs="FZShuSong-Z01"/>
                <w:color w:val="000000"/>
                <w:kern w:val="0"/>
                <w:sz w:val="24"/>
                <w:szCs w:val="24"/>
                <w:lang w:val="en-US" w:eastAsia="zh-CN" w:bidi="ar"/>
              </w:rPr>
              <w:t>项目具体实施和标准术语和定义、目标和总</w:t>
            </w:r>
            <w:r>
              <w:rPr>
                <w:rFonts w:hint="default" w:ascii="FZShuSong-Z01" w:hAnsi="FZShuSong-Z01" w:eastAsia="FZShuSong-Z01" w:cs="FZShuSong-Z01"/>
                <w:color w:val="000000"/>
                <w:kern w:val="0"/>
                <w:sz w:val="24"/>
                <w:szCs w:val="24"/>
                <w:lang w:val="en-US" w:eastAsia="zh-CN" w:bidi="ar"/>
              </w:rPr>
              <w:t>体原则、总体要求部分的起草</w:t>
            </w:r>
          </w:p>
        </w:tc>
      </w:tr>
      <w:tr w14:paraId="636B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18597330">
            <w:pPr>
              <w:numPr>
                <w:ilvl w:val="0"/>
                <w:numId w:val="0"/>
              </w:numPr>
              <w:jc w:val="center"/>
              <w:rPr>
                <w:rFonts w:hint="eastAsia"/>
                <w:sz w:val="24"/>
                <w:szCs w:val="24"/>
                <w:highlight w:val="none"/>
                <w:vertAlign w:val="baseline"/>
                <w:lang w:eastAsia="zh-CN"/>
              </w:rPr>
            </w:pPr>
            <w:r>
              <w:rPr>
                <w:rFonts w:hint="eastAsia"/>
                <w:sz w:val="24"/>
                <w:szCs w:val="24"/>
                <w:highlight w:val="none"/>
                <w:lang w:val="en-US" w:eastAsia="zh-CN"/>
              </w:rPr>
              <w:t>陈廷贵</w:t>
            </w:r>
          </w:p>
        </w:tc>
        <w:tc>
          <w:tcPr>
            <w:tcW w:w="2840" w:type="dxa"/>
            <w:vAlign w:val="center"/>
          </w:tcPr>
          <w:p w14:paraId="309C899A">
            <w:pPr>
              <w:numPr>
                <w:ilvl w:val="0"/>
                <w:numId w:val="0"/>
              </w:numPr>
              <w:jc w:val="both"/>
              <w:rPr>
                <w:rFonts w:hint="eastAsia"/>
                <w:sz w:val="24"/>
                <w:szCs w:val="24"/>
                <w:highlight w:val="none"/>
                <w:vertAlign w:val="baseline"/>
                <w:lang w:eastAsia="zh-CN"/>
              </w:rPr>
            </w:pPr>
            <w:r>
              <w:rPr>
                <w:rFonts w:hint="eastAsia" w:ascii="Times New Roman" w:hAnsi="Times New Roman" w:eastAsia="宋体" w:cs="Times New Roman"/>
                <w:sz w:val="24"/>
                <w:szCs w:val="24"/>
                <w:highlight w:val="none"/>
                <w:lang w:val="en-US" w:eastAsia="zh-CN"/>
              </w:rPr>
              <w:t>上海海洋大学</w:t>
            </w:r>
          </w:p>
        </w:tc>
        <w:tc>
          <w:tcPr>
            <w:tcW w:w="4546" w:type="dxa"/>
            <w:vAlign w:val="center"/>
          </w:tcPr>
          <w:p w14:paraId="6C7A7CCE">
            <w:pPr>
              <w:keepNext w:val="0"/>
              <w:keepLines w:val="0"/>
              <w:widowControl/>
              <w:suppressLineNumbers w:val="0"/>
              <w:ind w:left="0" w:leftChars="0" w:firstLine="0" w:firstLineChars="0"/>
              <w:jc w:val="left"/>
              <w:rPr>
                <w:rFonts w:hint="eastAsia"/>
                <w:sz w:val="24"/>
                <w:szCs w:val="24"/>
                <w:highlight w:val="none"/>
                <w:vertAlign w:val="baseline"/>
                <w:lang w:eastAsia="zh-CN"/>
              </w:rPr>
            </w:pPr>
            <w:r>
              <w:rPr>
                <w:rFonts w:ascii="FZShuSong-Z01" w:hAnsi="FZShuSong-Z01" w:eastAsia="FZShuSong-Z01" w:cs="FZShuSong-Z01"/>
                <w:color w:val="000000"/>
                <w:kern w:val="0"/>
                <w:sz w:val="24"/>
                <w:szCs w:val="24"/>
                <w:lang w:val="en-US" w:eastAsia="zh-CN" w:bidi="ar"/>
              </w:rPr>
              <w:t>项目具体实施和标准术语和定义、目标和总</w:t>
            </w:r>
            <w:r>
              <w:rPr>
                <w:rFonts w:hint="default" w:ascii="FZShuSong-Z01" w:hAnsi="FZShuSong-Z01" w:eastAsia="FZShuSong-Z01" w:cs="FZShuSong-Z01"/>
                <w:color w:val="000000"/>
                <w:kern w:val="0"/>
                <w:sz w:val="24"/>
                <w:szCs w:val="24"/>
                <w:lang w:val="en-US" w:eastAsia="zh-CN" w:bidi="ar"/>
              </w:rPr>
              <w:t>体原则、总体要求部分的起草</w:t>
            </w:r>
          </w:p>
        </w:tc>
      </w:tr>
      <w:tr w14:paraId="5EC5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0D7C6441">
            <w:pPr>
              <w:numPr>
                <w:ilvl w:val="0"/>
                <w:numId w:val="0"/>
              </w:numPr>
              <w:jc w:val="center"/>
              <w:rPr>
                <w:rFonts w:hint="eastAsia"/>
                <w:sz w:val="24"/>
                <w:szCs w:val="24"/>
                <w:highlight w:val="none"/>
                <w:vertAlign w:val="baseline"/>
                <w:lang w:eastAsia="zh-CN"/>
              </w:rPr>
            </w:pPr>
            <w:r>
              <w:rPr>
                <w:rFonts w:hint="eastAsia"/>
                <w:sz w:val="24"/>
                <w:szCs w:val="24"/>
                <w:highlight w:val="none"/>
                <w:lang w:eastAsia="zh-CN"/>
              </w:rPr>
              <w:t>叶深</w:t>
            </w:r>
          </w:p>
        </w:tc>
        <w:tc>
          <w:tcPr>
            <w:tcW w:w="2840" w:type="dxa"/>
            <w:vAlign w:val="center"/>
          </w:tcPr>
          <w:p w14:paraId="0EA41E32">
            <w:pPr>
              <w:numPr>
                <w:ilvl w:val="0"/>
                <w:numId w:val="0"/>
              </w:numPr>
              <w:jc w:val="both"/>
              <w:rPr>
                <w:rFonts w:hint="eastAsia"/>
                <w:sz w:val="24"/>
                <w:szCs w:val="24"/>
                <w:highlight w:val="none"/>
                <w:vertAlign w:val="baseline"/>
                <w:lang w:eastAsia="zh-CN"/>
              </w:rPr>
            </w:pPr>
            <w:r>
              <w:rPr>
                <w:rFonts w:hint="eastAsia"/>
                <w:sz w:val="24"/>
                <w:szCs w:val="24"/>
                <w:highlight w:val="none"/>
                <w:lang w:eastAsia="zh-CN"/>
              </w:rPr>
              <w:t>浙江省海洋水产养殖研究所（浙江省海洋渔业环境与生物安全检验监测中心）</w:t>
            </w:r>
          </w:p>
        </w:tc>
        <w:tc>
          <w:tcPr>
            <w:tcW w:w="4546" w:type="dxa"/>
            <w:vAlign w:val="center"/>
          </w:tcPr>
          <w:p w14:paraId="44090A09">
            <w:pPr>
              <w:numPr>
                <w:ilvl w:val="0"/>
                <w:numId w:val="0"/>
              </w:numPr>
              <w:jc w:val="both"/>
              <w:rPr>
                <w:rFonts w:hint="eastAsia"/>
                <w:sz w:val="24"/>
                <w:szCs w:val="24"/>
                <w:highlight w:val="none"/>
                <w:vertAlign w:val="baseline"/>
                <w:lang w:eastAsia="zh-CN"/>
              </w:rPr>
            </w:pPr>
            <w:r>
              <w:rPr>
                <w:rFonts w:ascii="FZShuSong-Z01" w:hAnsi="FZShuSong-Z01" w:eastAsia="FZShuSong-Z01" w:cs="FZShuSong-Z01"/>
                <w:color w:val="000000"/>
                <w:kern w:val="0"/>
                <w:sz w:val="24"/>
                <w:szCs w:val="24"/>
                <w:lang w:val="en-US" w:eastAsia="zh-CN" w:bidi="ar"/>
              </w:rPr>
              <w:t>项目具体实施和标准术语和定义、目标和总</w:t>
            </w:r>
            <w:r>
              <w:rPr>
                <w:rFonts w:hint="default" w:ascii="FZShuSong-Z01" w:hAnsi="FZShuSong-Z01" w:eastAsia="FZShuSong-Z01" w:cs="FZShuSong-Z01"/>
                <w:color w:val="000000"/>
                <w:kern w:val="0"/>
                <w:sz w:val="24"/>
                <w:szCs w:val="24"/>
                <w:lang w:val="en-US" w:eastAsia="zh-CN" w:bidi="ar"/>
              </w:rPr>
              <w:t>体原则、总体要求部分的起草</w:t>
            </w:r>
          </w:p>
        </w:tc>
      </w:tr>
      <w:tr w14:paraId="7BE6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15EF6A39">
            <w:pPr>
              <w:numPr>
                <w:ilvl w:val="0"/>
                <w:numId w:val="0"/>
              </w:numPr>
              <w:jc w:val="center"/>
              <w:rPr>
                <w:rFonts w:hint="eastAsia"/>
                <w:sz w:val="24"/>
                <w:szCs w:val="24"/>
                <w:highlight w:val="none"/>
                <w:vertAlign w:val="baseline"/>
                <w:lang w:eastAsia="zh-CN"/>
              </w:rPr>
            </w:pPr>
            <w:r>
              <w:rPr>
                <w:rFonts w:hint="eastAsia"/>
                <w:sz w:val="24"/>
                <w:szCs w:val="24"/>
                <w:highlight w:val="none"/>
                <w:lang w:eastAsia="zh-CN"/>
              </w:rPr>
              <w:t>秦松</w:t>
            </w:r>
          </w:p>
        </w:tc>
        <w:tc>
          <w:tcPr>
            <w:tcW w:w="2840" w:type="dxa"/>
            <w:vAlign w:val="center"/>
          </w:tcPr>
          <w:p w14:paraId="3880ED79">
            <w:pPr>
              <w:numPr>
                <w:ilvl w:val="0"/>
                <w:numId w:val="0"/>
              </w:numPr>
              <w:jc w:val="both"/>
              <w:rPr>
                <w:rFonts w:hint="eastAsia"/>
                <w:sz w:val="24"/>
                <w:szCs w:val="24"/>
                <w:highlight w:val="none"/>
                <w:vertAlign w:val="baseline"/>
                <w:lang w:eastAsia="zh-CN"/>
              </w:rPr>
            </w:pPr>
            <w:r>
              <w:rPr>
                <w:rFonts w:hint="eastAsia"/>
                <w:sz w:val="24"/>
                <w:szCs w:val="24"/>
                <w:highlight w:val="none"/>
                <w:lang w:eastAsia="zh-CN"/>
              </w:rPr>
              <w:t>浙江省海洋水产养殖研究所（浙江省海洋渔业环境与生物安全检验监测中心）</w:t>
            </w:r>
          </w:p>
        </w:tc>
        <w:tc>
          <w:tcPr>
            <w:tcW w:w="4546" w:type="dxa"/>
            <w:vAlign w:val="center"/>
          </w:tcPr>
          <w:p w14:paraId="13A7C8B5">
            <w:pPr>
              <w:numPr>
                <w:ilvl w:val="0"/>
                <w:numId w:val="0"/>
              </w:numPr>
              <w:jc w:val="both"/>
              <w:rPr>
                <w:rFonts w:hint="eastAsia"/>
                <w:sz w:val="24"/>
                <w:szCs w:val="24"/>
                <w:highlight w:val="none"/>
                <w:vertAlign w:val="baseline"/>
                <w:lang w:eastAsia="zh-CN"/>
              </w:rPr>
            </w:pPr>
            <w:r>
              <w:rPr>
                <w:rFonts w:ascii="FZShuSong-Z01" w:hAnsi="FZShuSong-Z01" w:eastAsia="FZShuSong-Z01" w:cs="FZShuSong-Z01"/>
                <w:color w:val="000000"/>
                <w:kern w:val="0"/>
                <w:sz w:val="24"/>
                <w:szCs w:val="24"/>
                <w:lang w:val="en-US" w:eastAsia="zh-CN" w:bidi="ar"/>
              </w:rPr>
              <w:t>项目具体实施和标准术语和定义、目标和总</w:t>
            </w:r>
            <w:r>
              <w:rPr>
                <w:rFonts w:hint="default" w:ascii="FZShuSong-Z01" w:hAnsi="FZShuSong-Z01" w:eastAsia="FZShuSong-Z01" w:cs="FZShuSong-Z01"/>
                <w:color w:val="000000"/>
                <w:kern w:val="0"/>
                <w:sz w:val="24"/>
                <w:szCs w:val="24"/>
                <w:lang w:val="en-US" w:eastAsia="zh-CN" w:bidi="ar"/>
              </w:rPr>
              <w:t>体原则、总体要求部分的起草</w:t>
            </w:r>
          </w:p>
        </w:tc>
      </w:tr>
      <w:tr w14:paraId="3951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7E419DD5">
            <w:pPr>
              <w:numPr>
                <w:ilvl w:val="0"/>
                <w:numId w:val="0"/>
              </w:numPr>
              <w:jc w:val="center"/>
              <w:rPr>
                <w:rFonts w:hint="eastAsia"/>
                <w:sz w:val="24"/>
                <w:szCs w:val="24"/>
                <w:highlight w:val="none"/>
                <w:vertAlign w:val="baseline"/>
                <w:lang w:eastAsia="zh-CN"/>
              </w:rPr>
            </w:pPr>
            <w:r>
              <w:rPr>
                <w:rFonts w:hint="eastAsia"/>
                <w:sz w:val="24"/>
                <w:szCs w:val="24"/>
                <w:highlight w:val="none"/>
                <w:lang w:eastAsia="zh-CN"/>
              </w:rPr>
              <w:t>俞正森</w:t>
            </w:r>
          </w:p>
        </w:tc>
        <w:tc>
          <w:tcPr>
            <w:tcW w:w="2840" w:type="dxa"/>
            <w:vAlign w:val="center"/>
          </w:tcPr>
          <w:p w14:paraId="174674CD">
            <w:pPr>
              <w:numPr>
                <w:ilvl w:val="0"/>
                <w:numId w:val="0"/>
              </w:numPr>
              <w:jc w:val="both"/>
              <w:rPr>
                <w:rFonts w:hint="eastAsia"/>
                <w:sz w:val="24"/>
                <w:szCs w:val="24"/>
                <w:highlight w:val="none"/>
                <w:vertAlign w:val="baseline"/>
                <w:lang w:eastAsia="zh-CN"/>
              </w:rPr>
            </w:pPr>
            <w:r>
              <w:rPr>
                <w:rFonts w:hint="eastAsia"/>
                <w:sz w:val="24"/>
                <w:szCs w:val="24"/>
                <w:highlight w:val="none"/>
                <w:lang w:eastAsia="zh-CN"/>
              </w:rPr>
              <w:t>浙江省海洋水产养殖研究所（浙江省海洋渔业环境与生物安全检验监测中心）</w:t>
            </w:r>
          </w:p>
        </w:tc>
        <w:tc>
          <w:tcPr>
            <w:tcW w:w="4546" w:type="dxa"/>
            <w:vAlign w:val="center"/>
          </w:tcPr>
          <w:p w14:paraId="7B63128B">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参与资料收集、撰写编制说明</w:t>
            </w:r>
          </w:p>
        </w:tc>
      </w:tr>
      <w:tr w14:paraId="322E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1181A555">
            <w:pPr>
              <w:numPr>
                <w:ilvl w:val="0"/>
                <w:numId w:val="0"/>
              </w:numPr>
              <w:jc w:val="center"/>
              <w:rPr>
                <w:rFonts w:hint="eastAsia"/>
                <w:sz w:val="24"/>
                <w:szCs w:val="24"/>
                <w:highlight w:val="none"/>
                <w:vertAlign w:val="baseline"/>
                <w:lang w:eastAsia="zh-CN"/>
              </w:rPr>
            </w:pPr>
            <w:r>
              <w:rPr>
                <w:rFonts w:hint="eastAsia"/>
                <w:sz w:val="24"/>
                <w:szCs w:val="24"/>
                <w:highlight w:val="none"/>
                <w:lang w:eastAsia="zh-CN"/>
              </w:rPr>
              <w:t>蒋日进</w:t>
            </w:r>
          </w:p>
        </w:tc>
        <w:tc>
          <w:tcPr>
            <w:tcW w:w="2840" w:type="dxa"/>
            <w:vAlign w:val="center"/>
          </w:tcPr>
          <w:p w14:paraId="35BD30C2">
            <w:pPr>
              <w:numPr>
                <w:ilvl w:val="0"/>
                <w:numId w:val="0"/>
              </w:numPr>
              <w:jc w:val="both"/>
              <w:rPr>
                <w:rFonts w:hint="eastAsia"/>
                <w:sz w:val="24"/>
                <w:szCs w:val="24"/>
                <w:highlight w:val="none"/>
                <w:vertAlign w:val="baseline"/>
                <w:lang w:eastAsia="zh-CN"/>
              </w:rPr>
            </w:pPr>
            <w:r>
              <w:rPr>
                <w:rFonts w:hint="eastAsia" w:ascii="Times New Roman" w:hAnsi="Times New Roman" w:eastAsia="宋体" w:cs="Times New Roman"/>
                <w:sz w:val="24"/>
                <w:szCs w:val="24"/>
                <w:highlight w:val="none"/>
                <w:lang w:val="en-US" w:eastAsia="zh-CN"/>
              </w:rPr>
              <w:t>浙江省海洋水产研究所</w:t>
            </w:r>
          </w:p>
        </w:tc>
        <w:tc>
          <w:tcPr>
            <w:tcW w:w="4546" w:type="dxa"/>
            <w:vAlign w:val="center"/>
          </w:tcPr>
          <w:p w14:paraId="54C3F183">
            <w:pPr>
              <w:numPr>
                <w:ilvl w:val="0"/>
                <w:numId w:val="0"/>
              </w:numPr>
              <w:jc w:val="both"/>
              <w:rPr>
                <w:rFonts w:hint="eastAsia"/>
                <w:sz w:val="24"/>
                <w:szCs w:val="24"/>
                <w:highlight w:val="none"/>
                <w:vertAlign w:val="baseline"/>
                <w:lang w:eastAsia="zh-CN"/>
              </w:rPr>
            </w:pPr>
            <w:r>
              <w:rPr>
                <w:rFonts w:hint="eastAsia" w:ascii="FZShuSong-Z01" w:hAnsi="FZShuSong-Z01" w:eastAsia="FZShuSong-Z01" w:cs="FZShuSong-Z01"/>
                <w:color w:val="000000"/>
                <w:kern w:val="0"/>
                <w:sz w:val="24"/>
                <w:szCs w:val="24"/>
                <w:lang w:val="en-US" w:eastAsia="zh-CN" w:bidi="ar"/>
              </w:rPr>
              <w:t>参与标准编写、技术指导</w:t>
            </w:r>
          </w:p>
        </w:tc>
      </w:tr>
      <w:tr w14:paraId="4C13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7EDDA8AC">
            <w:pPr>
              <w:numPr>
                <w:ilvl w:val="0"/>
                <w:numId w:val="0"/>
              </w:numPr>
              <w:jc w:val="center"/>
              <w:rPr>
                <w:rFonts w:hint="eastAsia"/>
                <w:sz w:val="24"/>
                <w:szCs w:val="24"/>
                <w:highlight w:val="none"/>
                <w:vertAlign w:val="baseline"/>
                <w:lang w:eastAsia="zh-CN"/>
              </w:rPr>
            </w:pPr>
            <w:r>
              <w:rPr>
                <w:rFonts w:hint="eastAsia"/>
                <w:sz w:val="24"/>
                <w:szCs w:val="24"/>
                <w:highlight w:val="none"/>
                <w:lang w:eastAsia="zh-CN"/>
              </w:rPr>
              <w:t>汤建华</w:t>
            </w:r>
          </w:p>
        </w:tc>
        <w:tc>
          <w:tcPr>
            <w:tcW w:w="2840" w:type="dxa"/>
            <w:vAlign w:val="center"/>
          </w:tcPr>
          <w:p w14:paraId="24224D13">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江苏省海洋水产研究所</w:t>
            </w:r>
          </w:p>
        </w:tc>
        <w:tc>
          <w:tcPr>
            <w:tcW w:w="4546" w:type="dxa"/>
            <w:vAlign w:val="center"/>
          </w:tcPr>
          <w:p w14:paraId="623CBDFA">
            <w:pPr>
              <w:numPr>
                <w:ilvl w:val="0"/>
                <w:numId w:val="0"/>
              </w:numPr>
              <w:jc w:val="both"/>
              <w:rPr>
                <w:rFonts w:hint="eastAsia" w:ascii="Times New Roman" w:hAnsi="Times New Roman" w:eastAsia="宋体" w:cs="Times New Roman"/>
                <w:sz w:val="24"/>
                <w:szCs w:val="24"/>
                <w:highlight w:val="none"/>
                <w:vertAlign w:val="baseline"/>
                <w:lang w:eastAsia="zh-CN"/>
              </w:rPr>
            </w:pPr>
            <w:r>
              <w:rPr>
                <w:rFonts w:hint="eastAsia" w:ascii="Times New Roman" w:hAnsi="Times New Roman" w:eastAsia="宋体" w:cs="Times New Roman"/>
                <w:sz w:val="24"/>
                <w:szCs w:val="24"/>
                <w:highlight w:val="none"/>
                <w:vertAlign w:val="baseline"/>
                <w:lang w:val="en-US" w:eastAsia="zh-CN"/>
              </w:rPr>
              <w:t>参与资料收集、撰写编制说明</w:t>
            </w:r>
          </w:p>
        </w:tc>
      </w:tr>
      <w:tr w14:paraId="106E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5CB31F37">
            <w:pPr>
              <w:numPr>
                <w:ilvl w:val="0"/>
                <w:numId w:val="0"/>
              </w:numPr>
              <w:jc w:val="center"/>
              <w:rPr>
                <w:rFonts w:hint="eastAsia"/>
                <w:sz w:val="24"/>
                <w:szCs w:val="24"/>
                <w:highlight w:val="none"/>
                <w:lang w:eastAsia="zh-CN"/>
              </w:rPr>
            </w:pPr>
            <w:r>
              <w:rPr>
                <w:rFonts w:hint="eastAsia"/>
                <w:sz w:val="24"/>
                <w:szCs w:val="24"/>
                <w:highlight w:val="none"/>
                <w:lang w:eastAsia="zh-CN"/>
              </w:rPr>
              <w:t>陈锦辉</w:t>
            </w:r>
          </w:p>
        </w:tc>
        <w:tc>
          <w:tcPr>
            <w:tcW w:w="2840" w:type="dxa"/>
            <w:vAlign w:val="center"/>
          </w:tcPr>
          <w:p w14:paraId="3470A6E6">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上海市水产研究所（上海市水产技术推广站）</w:t>
            </w:r>
          </w:p>
        </w:tc>
        <w:tc>
          <w:tcPr>
            <w:tcW w:w="4546" w:type="dxa"/>
            <w:vAlign w:val="center"/>
          </w:tcPr>
          <w:p w14:paraId="0718361A">
            <w:pPr>
              <w:numPr>
                <w:ilvl w:val="0"/>
                <w:numId w:val="0"/>
              </w:numPr>
              <w:jc w:val="both"/>
              <w:rPr>
                <w:rFonts w:hint="eastAsia" w:ascii="Times New Roman" w:hAnsi="Times New Roman" w:eastAsia="宋体" w:cs="Times New Roman"/>
                <w:sz w:val="24"/>
                <w:szCs w:val="24"/>
                <w:highlight w:val="none"/>
                <w:vertAlign w:val="baseline"/>
                <w:lang w:eastAsia="zh-CN"/>
              </w:rPr>
            </w:pPr>
            <w:r>
              <w:rPr>
                <w:rFonts w:hint="eastAsia" w:ascii="Times New Roman" w:hAnsi="Times New Roman" w:eastAsia="宋体" w:cs="Times New Roman"/>
                <w:sz w:val="24"/>
                <w:szCs w:val="24"/>
                <w:highlight w:val="none"/>
                <w:vertAlign w:val="baseline"/>
                <w:lang w:val="en-US" w:eastAsia="zh-CN"/>
              </w:rPr>
              <w:t>参与资料收集、撰写编制说明</w:t>
            </w:r>
          </w:p>
        </w:tc>
      </w:tr>
      <w:tr w14:paraId="57AF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4AEAA131">
            <w:pPr>
              <w:numPr>
                <w:ilvl w:val="0"/>
                <w:numId w:val="0"/>
              </w:numPr>
              <w:jc w:val="center"/>
              <w:rPr>
                <w:rFonts w:hint="eastAsia"/>
                <w:sz w:val="24"/>
                <w:szCs w:val="24"/>
                <w:highlight w:val="none"/>
                <w:lang w:eastAsia="zh-CN"/>
              </w:rPr>
            </w:pPr>
            <w:r>
              <w:rPr>
                <w:rFonts w:hint="eastAsia"/>
                <w:sz w:val="24"/>
                <w:szCs w:val="24"/>
                <w:highlight w:val="none"/>
                <w:lang w:eastAsia="zh-CN"/>
              </w:rPr>
              <w:t>蔡建堤</w:t>
            </w:r>
          </w:p>
        </w:tc>
        <w:tc>
          <w:tcPr>
            <w:tcW w:w="2840" w:type="dxa"/>
            <w:vAlign w:val="center"/>
          </w:tcPr>
          <w:p w14:paraId="7AC3C52E">
            <w:pPr>
              <w:numPr>
                <w:ilvl w:val="0"/>
                <w:numId w:val="0"/>
              </w:numPr>
              <w:jc w:val="both"/>
              <w:rPr>
                <w:rFonts w:hint="eastAsia"/>
                <w:sz w:val="24"/>
                <w:szCs w:val="24"/>
                <w:highlight w:val="none"/>
                <w:vertAlign w:val="baseline"/>
                <w:lang w:eastAsia="zh-CN"/>
              </w:rPr>
            </w:pPr>
            <w:r>
              <w:rPr>
                <w:rFonts w:hint="eastAsia" w:ascii="Times New Roman" w:hAnsi="Times New Roman" w:eastAsia="宋体" w:cs="Times New Roman"/>
                <w:sz w:val="24"/>
                <w:szCs w:val="24"/>
                <w:highlight w:val="none"/>
                <w:lang w:val="en-US" w:eastAsia="zh-CN"/>
              </w:rPr>
              <w:t>福建省水产研究所</w:t>
            </w:r>
          </w:p>
        </w:tc>
        <w:tc>
          <w:tcPr>
            <w:tcW w:w="4546" w:type="dxa"/>
            <w:vAlign w:val="center"/>
          </w:tcPr>
          <w:p w14:paraId="2A9C38F5">
            <w:pPr>
              <w:numPr>
                <w:ilvl w:val="0"/>
                <w:numId w:val="0"/>
              </w:numPr>
              <w:jc w:val="both"/>
              <w:rPr>
                <w:rFonts w:hint="eastAsia" w:ascii="Times New Roman" w:hAnsi="Times New Roman" w:eastAsia="宋体" w:cs="Times New Roman"/>
                <w:sz w:val="24"/>
                <w:szCs w:val="24"/>
                <w:highlight w:val="none"/>
                <w:vertAlign w:val="baseline"/>
                <w:lang w:eastAsia="zh-CN"/>
              </w:rPr>
            </w:pPr>
            <w:r>
              <w:rPr>
                <w:rFonts w:hint="eastAsia" w:ascii="Times New Roman" w:hAnsi="Times New Roman" w:eastAsia="宋体" w:cs="Times New Roman"/>
                <w:sz w:val="24"/>
                <w:szCs w:val="24"/>
                <w:highlight w:val="none"/>
                <w:vertAlign w:val="baseline"/>
                <w:lang w:val="en-US" w:eastAsia="zh-CN"/>
              </w:rPr>
              <w:t>参与资料收集、撰写编制说明</w:t>
            </w:r>
          </w:p>
        </w:tc>
      </w:tr>
      <w:tr w14:paraId="6BF8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0990C6B6">
            <w:pPr>
              <w:numPr>
                <w:ilvl w:val="0"/>
                <w:numId w:val="0"/>
              </w:numPr>
              <w:jc w:val="center"/>
              <w:rPr>
                <w:rFonts w:hint="eastAsia"/>
                <w:sz w:val="24"/>
                <w:szCs w:val="24"/>
                <w:highlight w:val="none"/>
                <w:lang w:eastAsia="zh-CN"/>
              </w:rPr>
            </w:pPr>
            <w:r>
              <w:rPr>
                <w:rFonts w:hint="eastAsia"/>
                <w:sz w:val="24"/>
                <w:szCs w:val="24"/>
                <w:highlight w:val="none"/>
                <w:lang w:eastAsia="zh-CN"/>
              </w:rPr>
              <w:t>王思凯</w:t>
            </w:r>
          </w:p>
        </w:tc>
        <w:tc>
          <w:tcPr>
            <w:tcW w:w="2840" w:type="dxa"/>
            <w:vAlign w:val="center"/>
          </w:tcPr>
          <w:p w14:paraId="14782B16">
            <w:pPr>
              <w:numPr>
                <w:ilvl w:val="0"/>
                <w:numId w:val="0"/>
              </w:numPr>
              <w:jc w:val="both"/>
              <w:rPr>
                <w:rFonts w:hint="eastAsia"/>
                <w:sz w:val="24"/>
                <w:szCs w:val="24"/>
                <w:highlight w:val="none"/>
                <w:vertAlign w:val="baseline"/>
                <w:lang w:eastAsia="zh-CN"/>
              </w:rPr>
            </w:pPr>
            <w:r>
              <w:rPr>
                <w:rFonts w:hint="eastAsia" w:ascii="Times New Roman" w:hAnsi="Times New Roman" w:eastAsia="宋体" w:cs="Times New Roman"/>
                <w:sz w:val="24"/>
                <w:szCs w:val="24"/>
                <w:highlight w:val="none"/>
                <w:lang w:val="en-US" w:eastAsia="zh-CN"/>
              </w:rPr>
              <w:t>中国水产科学研究院东海水产研究所</w:t>
            </w:r>
          </w:p>
        </w:tc>
        <w:tc>
          <w:tcPr>
            <w:tcW w:w="4546" w:type="dxa"/>
            <w:vAlign w:val="center"/>
          </w:tcPr>
          <w:p w14:paraId="206B0A27">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参与标准的校对、格式规范整理及附录编制工作</w:t>
            </w:r>
          </w:p>
        </w:tc>
      </w:tr>
      <w:tr w14:paraId="4B9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35E50954">
            <w:pPr>
              <w:numPr>
                <w:ilvl w:val="0"/>
                <w:numId w:val="0"/>
              </w:numPr>
              <w:jc w:val="center"/>
              <w:rPr>
                <w:rFonts w:hint="eastAsia"/>
                <w:sz w:val="24"/>
                <w:szCs w:val="24"/>
                <w:highlight w:val="none"/>
                <w:lang w:eastAsia="zh-CN"/>
              </w:rPr>
            </w:pPr>
            <w:r>
              <w:rPr>
                <w:rFonts w:hint="eastAsia"/>
                <w:sz w:val="24"/>
                <w:szCs w:val="24"/>
                <w:highlight w:val="none"/>
                <w:lang w:eastAsia="zh-CN"/>
              </w:rPr>
              <w:t>洪波</w:t>
            </w:r>
          </w:p>
        </w:tc>
        <w:tc>
          <w:tcPr>
            <w:tcW w:w="2840" w:type="dxa"/>
            <w:vAlign w:val="center"/>
          </w:tcPr>
          <w:p w14:paraId="0ADDC29A">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上海市水产研究所（上海市水产技术推广站）</w:t>
            </w:r>
          </w:p>
        </w:tc>
        <w:tc>
          <w:tcPr>
            <w:tcW w:w="4546" w:type="dxa"/>
            <w:vAlign w:val="center"/>
          </w:tcPr>
          <w:p w14:paraId="6A573A12">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参与标准的校对、格式规范整理及附录编制工作</w:t>
            </w:r>
          </w:p>
        </w:tc>
      </w:tr>
      <w:tr w14:paraId="60A7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36" w:type="dxa"/>
            <w:vAlign w:val="center"/>
          </w:tcPr>
          <w:p w14:paraId="2DEF935E">
            <w:pPr>
              <w:numPr>
                <w:ilvl w:val="0"/>
                <w:numId w:val="0"/>
              </w:numPr>
              <w:jc w:val="center"/>
              <w:rPr>
                <w:rFonts w:hint="eastAsia"/>
                <w:sz w:val="24"/>
                <w:szCs w:val="24"/>
                <w:highlight w:val="none"/>
                <w:lang w:eastAsia="zh-CN"/>
              </w:rPr>
            </w:pPr>
            <w:r>
              <w:rPr>
                <w:rFonts w:hint="eastAsia"/>
                <w:sz w:val="24"/>
                <w:szCs w:val="24"/>
                <w:highlight w:val="none"/>
                <w:lang w:eastAsia="zh-CN"/>
              </w:rPr>
              <w:t>李德伟</w:t>
            </w:r>
          </w:p>
        </w:tc>
        <w:tc>
          <w:tcPr>
            <w:tcW w:w="2840" w:type="dxa"/>
            <w:vAlign w:val="center"/>
          </w:tcPr>
          <w:p w14:paraId="3A3059CC">
            <w:pPr>
              <w:numPr>
                <w:ilvl w:val="0"/>
                <w:numId w:val="0"/>
              </w:numPr>
              <w:jc w:val="both"/>
              <w:rPr>
                <w:rFonts w:hint="eastAsia"/>
                <w:sz w:val="24"/>
                <w:szCs w:val="24"/>
                <w:highlight w:val="none"/>
                <w:vertAlign w:val="baseline"/>
                <w:lang w:eastAsia="zh-CN"/>
              </w:rPr>
            </w:pPr>
            <w:r>
              <w:rPr>
                <w:rFonts w:hint="eastAsia" w:ascii="Times New Roman" w:hAnsi="Times New Roman" w:eastAsia="宋体" w:cs="Times New Roman"/>
                <w:sz w:val="24"/>
                <w:szCs w:val="24"/>
                <w:highlight w:val="none"/>
                <w:lang w:val="en-US" w:eastAsia="zh-CN"/>
              </w:rPr>
              <w:t>浙江省海洋水产研究所</w:t>
            </w:r>
          </w:p>
        </w:tc>
        <w:tc>
          <w:tcPr>
            <w:tcW w:w="4546" w:type="dxa"/>
            <w:vAlign w:val="center"/>
          </w:tcPr>
          <w:p w14:paraId="0946D43A">
            <w:pPr>
              <w:numPr>
                <w:ilvl w:val="0"/>
                <w:numId w:val="0"/>
              </w:numPr>
              <w:jc w:val="both"/>
              <w:rPr>
                <w:rFonts w:hint="eastAsia"/>
                <w:sz w:val="24"/>
                <w:szCs w:val="24"/>
                <w:highlight w:val="none"/>
                <w:vertAlign w:val="baseline"/>
                <w:lang w:eastAsia="zh-CN"/>
              </w:rPr>
            </w:pPr>
            <w:r>
              <w:rPr>
                <w:rFonts w:hint="eastAsia"/>
                <w:sz w:val="24"/>
                <w:szCs w:val="24"/>
                <w:highlight w:val="none"/>
                <w:vertAlign w:val="baseline"/>
                <w:lang w:eastAsia="zh-CN"/>
              </w:rPr>
              <w:t>参与标准的校对、格式规范整理及附录编制工作</w:t>
            </w:r>
          </w:p>
        </w:tc>
      </w:tr>
    </w:tbl>
    <w:p w14:paraId="163B47D9">
      <w:pPr>
        <w:numPr>
          <w:ilvl w:val="0"/>
          <w:numId w:val="0"/>
        </w:numPr>
        <w:ind w:left="0" w:leftChars="0" w:firstLine="480" w:firstLineChars="200"/>
        <w:rPr>
          <w:rFonts w:hint="eastAsia"/>
          <w:sz w:val="24"/>
          <w:szCs w:val="24"/>
          <w:highlight w:val="none"/>
          <w:lang w:eastAsia="zh-CN"/>
        </w:rPr>
      </w:pPr>
    </w:p>
    <w:p w14:paraId="025FF34A">
      <w:pPr>
        <w:adjustRightInd w:val="0"/>
        <w:spacing w:line="480" w:lineRule="auto"/>
        <w:ind w:firstLine="0" w:firstLineChars="0"/>
        <w:outlineLvl w:val="0"/>
        <w:rPr>
          <w:rFonts w:hint="eastAsia" w:ascii="Times New Roman" w:hAnsi="Times New Roman" w:eastAsia="黑体" w:cs="Times New Roman"/>
          <w:b w:val="0"/>
          <w:bCs/>
          <w:kern w:val="44"/>
          <w:sz w:val="32"/>
          <w:szCs w:val="24"/>
          <w:highlight w:val="none"/>
          <w:lang w:val="en-US" w:eastAsia="zh-CN" w:bidi="ar-SA"/>
        </w:rPr>
      </w:pPr>
      <w:r>
        <w:rPr>
          <w:rFonts w:hint="eastAsia" w:ascii="Times New Roman" w:hAnsi="Times New Roman" w:eastAsia="黑体" w:cs="Times New Roman"/>
          <w:b w:val="0"/>
          <w:bCs/>
          <w:kern w:val="44"/>
          <w:sz w:val="32"/>
          <w:szCs w:val="24"/>
          <w:highlight w:val="none"/>
          <w:lang w:val="en-US" w:eastAsia="zh-CN" w:bidi="ar-SA"/>
        </w:rPr>
        <w:t>二、标准编制原则和确定标准主要内容的论据</w:t>
      </w:r>
    </w:p>
    <w:p w14:paraId="0353F93F">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黑体" w:hAnsi="黑体" w:eastAsia="黑体" w:cs="黑体"/>
          <w:b/>
          <w:bCs w:val="0"/>
          <w:sz w:val="28"/>
          <w:szCs w:val="28"/>
        </w:rPr>
      </w:pPr>
      <w:r>
        <w:rPr>
          <w:rFonts w:hint="eastAsia" w:ascii="黑体" w:hAnsi="黑体" w:eastAsia="黑体" w:cs="黑体"/>
          <w:b/>
          <w:bCs w:val="0"/>
          <w:sz w:val="28"/>
          <w:szCs w:val="28"/>
        </w:rPr>
        <w:t>（一）标准编制原则</w:t>
      </w:r>
    </w:p>
    <w:p w14:paraId="6CEB3038">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本标准遵循规范性原则，与国家现行的法律法规、部门规范性文件以及相关资料整编技术规程相衔接，充分考虑标准的继承性、实用性和可操作性。</w:t>
      </w:r>
    </w:p>
    <w:p w14:paraId="13CCFEC7">
      <w:pPr>
        <w:numPr>
          <w:ilvl w:val="0"/>
          <w:numId w:val="0"/>
        </w:numPr>
        <w:ind w:left="0" w:leftChars="0" w:firstLine="480" w:firstLineChars="200"/>
        <w:rPr>
          <w:rFonts w:hint="eastAsia" w:ascii="FZShuSong-Z01" w:hAnsi="FZShuSong-Z01" w:eastAsia="FZShuSong-Z01" w:cs="FZShuSong-Z01"/>
          <w:color w:val="000000"/>
          <w:kern w:val="0"/>
          <w:sz w:val="24"/>
          <w:szCs w:val="24"/>
          <w:lang w:val="en-US" w:eastAsia="zh-CN" w:bidi="ar"/>
        </w:rPr>
      </w:pPr>
      <w:r>
        <w:rPr>
          <w:rFonts w:hint="eastAsia"/>
          <w:sz w:val="24"/>
          <w:szCs w:val="24"/>
          <w:highlight w:val="none"/>
          <w:lang w:eastAsia="zh-CN"/>
        </w:rPr>
        <w:t>规范性原则。 标准的</w:t>
      </w:r>
      <w:r>
        <w:rPr>
          <w:rFonts w:hint="eastAsia"/>
          <w:sz w:val="24"/>
          <w:szCs w:val="24"/>
          <w:highlight w:val="none"/>
          <w:lang w:val="en-US" w:eastAsia="zh-CN"/>
        </w:rPr>
        <w:t>编制</w:t>
      </w:r>
      <w:r>
        <w:rPr>
          <w:rFonts w:hint="eastAsia"/>
          <w:sz w:val="24"/>
          <w:szCs w:val="24"/>
          <w:highlight w:val="none"/>
          <w:lang w:eastAsia="zh-CN"/>
        </w:rPr>
        <w:t>格式严格按照《标准化工作导则 第1部分：标准化文件的结构和起草规则》（GB/T 1.1—2020）的规定执行，采用标准编制软件进行文档编制，保证标准编制的规范性。起草过程中深入贯彻2026年5月1日新实施的《中华人民共和国渔业法》对限额捕捞提出的决策部署，通过建立“定点上岸、岸上填报”的约束流程，并结合交易环节，确保鳗苗渔获量能被如实记录。</w:t>
      </w:r>
    </w:p>
    <w:p w14:paraId="5CA17D07">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 xml:space="preserve">同时重点把握了以下几个方面： </w:t>
      </w:r>
    </w:p>
    <w:p w14:paraId="0B11E4F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sz w:val="24"/>
          <w:szCs w:val="24"/>
          <w:highlight w:val="none"/>
          <w:lang w:eastAsia="zh-CN"/>
        </w:rPr>
      </w:pPr>
      <w:r>
        <w:rPr>
          <w:rFonts w:hint="eastAsia"/>
          <w:sz w:val="24"/>
          <w:szCs w:val="24"/>
          <w:highlight w:val="none"/>
          <w:lang w:eastAsia="zh-CN"/>
        </w:rPr>
        <w:t>一是标准在编制过程中，注重与现行有关国家标准、行业标准保持协调，妥善处理与《海洋渔捞日志规范》（DB33/T 2200-2019）等现有标准之间的关系。通过调研分析，本标准与渔业捕捞相关的政策法规、国家标准及其他渔业领域相关标准规范保持一致性与兼容性，避免语义冲突、内容重复与交叉，确保标准发布后能够与现有标准体系协同实施。</w:t>
      </w:r>
    </w:p>
    <w:p w14:paraId="08EB3317">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val="en-US" w:eastAsia="zh-CN"/>
        </w:rPr>
        <w:t>二是做好标准内容的科学界定，明确本标准适用于我国当年度所有获得鳗苗专项捕捞特许资格的渔船，在指定渔港码头上岸进行鳗苗销售活动，以及相关渔业主管部门对鳗苗专项捕捞生产、渔获物上岸、交易流通等环节的数据采集与追溯管理活动。本标准规定了专项特许捕捞期间渔捞日志填报的总体要求、填写要求及填写说明等内容。各项技术指标均来源于实地验证——编写组依托浙江省温州、台州、宁波、舟山及嘉兴等鳗苗主产区，开展了为期三个监测周期的实地验证，“岸上填报”模式使填报完整率由不足60%提升至95%以上，为标准核心内容的确定提供了科学依据。</w:t>
      </w:r>
    </w:p>
    <w:p w14:paraId="1BA22C5D">
      <w:pPr>
        <w:numPr>
          <w:ilvl w:val="0"/>
          <w:numId w:val="0"/>
        </w:numPr>
        <w:ind w:left="0" w:leftChars="0" w:firstLine="480" w:firstLineChars="200"/>
        <w:rPr>
          <w:rFonts w:hint="eastAsia"/>
          <w:sz w:val="24"/>
          <w:szCs w:val="24"/>
          <w:highlight w:val="none"/>
          <w:lang w:val="en-US" w:eastAsia="zh-CN"/>
        </w:rPr>
      </w:pPr>
      <w:r>
        <w:rPr>
          <w:rFonts w:hint="eastAsia"/>
          <w:sz w:val="24"/>
          <w:szCs w:val="24"/>
          <w:highlight w:val="none"/>
          <w:lang w:val="en-US" w:eastAsia="zh-CN"/>
        </w:rPr>
        <w:t>三是标准的目的是作为专项特许捕捞过程中相关渔业信息的收集、整合、上传与应用，具有较强的实用性。在编制过程中，编写组充分考虑了专项捕捞渔船的实际作业特点和管理要求，通过多次组织与专家学者、渔业管理部门、渔船船长、渔民等的座谈论证，结合鳗苗观察员长期的资源跟踪监测实践经验，确保标准内容贴近实际、便于操作。标准规定的日志格式简洁明了，填报要素设置合理，既满足了管理需求，又最大程度减轻了渔民的填报负担。同时，力求内容简练，文字表述、符号使用符合中文习惯和规范，尽量避免与其他技术标准内容上有较大的重叠。</w:t>
      </w:r>
    </w:p>
    <w:p w14:paraId="4906BC6E">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val="en-US" w:eastAsia="zh-CN"/>
        </w:rPr>
        <w:t>四是标准在总结各地鳗苗渔捞日志管理和实践经验的基础上，将“定点上岸、岸上填报”的创新管理模式转化为标准化技术条款，填补了鳗苗专项特许捕捞渔捞日志规范化领域的标准空白。标准内容涵盖渔船活动、坐标位置、捕捞信息、渔获信息、交易流通等核心要素，体现了鳗苗专项捕捞渔业信息管理的完整性和系统性，具有一定的前瞻性和引领性。</w:t>
      </w:r>
    </w:p>
    <w:p w14:paraId="6D50C9A1">
      <w:pPr>
        <w:numPr>
          <w:ilvl w:val="0"/>
          <w:numId w:val="0"/>
        </w:numPr>
        <w:ind w:left="0" w:leftChars="0" w:firstLine="480" w:firstLineChars="200"/>
        <w:rPr>
          <w:rFonts w:hint="eastAsia"/>
          <w:sz w:val="24"/>
          <w:szCs w:val="24"/>
          <w:highlight w:val="none"/>
          <w:lang w:eastAsia="zh-CN"/>
        </w:rPr>
      </w:pPr>
    </w:p>
    <w:p w14:paraId="66BDE4E5">
      <w:pPr>
        <w:keepNext w:val="0"/>
        <w:keepLines w:val="0"/>
        <w:pageBreakBefore w:val="0"/>
        <w:widowControl w:val="0"/>
        <w:kinsoku/>
        <w:wordWrap/>
        <w:overflowPunct/>
        <w:topLinePunct w:val="0"/>
        <w:autoSpaceDE/>
        <w:autoSpaceDN/>
        <w:bidi w:val="0"/>
        <w:adjustRightInd w:val="0"/>
        <w:snapToGrid/>
        <w:spacing w:line="360" w:lineRule="auto"/>
        <w:ind w:firstLine="0" w:firstLineChars="0"/>
        <w:textAlignment w:val="auto"/>
        <w:outlineLvl w:val="0"/>
        <w:rPr>
          <w:rFonts w:hint="eastAsia" w:ascii="黑体" w:hAnsi="黑体" w:eastAsia="黑体" w:cs="黑体"/>
          <w:b/>
          <w:bCs w:val="0"/>
          <w:sz w:val="28"/>
          <w:szCs w:val="28"/>
          <w:highlight w:val="none"/>
        </w:rPr>
      </w:pPr>
      <w:r>
        <w:rPr>
          <w:rFonts w:hint="eastAsia" w:ascii="黑体" w:hAnsi="黑体" w:eastAsia="黑体" w:cs="黑体"/>
          <w:b/>
          <w:bCs w:val="0"/>
          <w:sz w:val="28"/>
          <w:szCs w:val="28"/>
          <w:highlight w:val="none"/>
        </w:rPr>
        <w:t>（二）确定标准主要内容的依据</w:t>
      </w:r>
    </w:p>
    <w:p w14:paraId="04150904">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1．关于本标准的范围</w:t>
      </w:r>
    </w:p>
    <w:p w14:paraId="3910E901">
      <w:pPr>
        <w:spacing w:line="360" w:lineRule="auto"/>
        <w:ind w:firstLine="480" w:firstLineChars="200"/>
        <w:rPr>
          <w:rFonts w:hint="eastAsia"/>
          <w:sz w:val="24"/>
          <w:szCs w:val="24"/>
          <w:highlight w:val="none"/>
          <w:lang w:eastAsia="zh-CN"/>
        </w:rPr>
      </w:pPr>
      <w:r>
        <w:rPr>
          <w:rFonts w:hint="eastAsia"/>
          <w:sz w:val="24"/>
          <w:szCs w:val="24"/>
          <w:highlight w:val="none"/>
          <w:lang w:eastAsia="zh-CN"/>
        </w:rPr>
        <w:t>本标准适用于</w:t>
      </w:r>
      <w:r>
        <w:rPr>
          <w:rFonts w:hint="eastAsia" w:ascii="Times New Roman" w:hAnsi="Times New Roman" w:eastAsia="宋体"/>
          <w:sz w:val="24"/>
          <w:szCs w:val="22"/>
          <w:highlight w:val="none"/>
        </w:rPr>
        <w:t>本</w:t>
      </w:r>
      <w:r>
        <w:rPr>
          <w:rFonts w:hint="eastAsia" w:ascii="Times New Roman" w:hAnsi="Times New Roman" w:eastAsia="宋体"/>
          <w:sz w:val="24"/>
          <w:szCs w:val="22"/>
          <w:highlight w:val="none"/>
          <w:lang w:val="en-US" w:eastAsia="zh-CN"/>
        </w:rPr>
        <w:t>文件</w:t>
      </w:r>
      <w:r>
        <w:rPr>
          <w:rFonts w:hint="eastAsia" w:ascii="Times New Roman" w:hAnsi="Times New Roman" w:eastAsia="宋体"/>
          <w:sz w:val="24"/>
          <w:szCs w:val="22"/>
          <w:highlight w:val="none"/>
        </w:rPr>
        <w:t>适用于鳗苗专项特许捕捞期间的生产、监督和管理</w:t>
      </w:r>
      <w:r>
        <w:rPr>
          <w:rFonts w:hint="eastAsia"/>
          <w:sz w:val="24"/>
          <w:szCs w:val="24"/>
          <w:highlight w:val="none"/>
          <w:lang w:eastAsia="zh-CN"/>
        </w:rPr>
        <w:t>。</w:t>
      </w:r>
    </w:p>
    <w:p w14:paraId="61077903">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2．关于本标准的技术内容</w:t>
      </w:r>
    </w:p>
    <w:p w14:paraId="101F1AD2">
      <w:pPr>
        <w:spacing w:line="360" w:lineRule="auto"/>
        <w:ind w:firstLine="480" w:firstLineChars="200"/>
        <w:rPr>
          <w:rFonts w:hint="eastAsia"/>
          <w:sz w:val="24"/>
          <w:szCs w:val="24"/>
          <w:highlight w:val="none"/>
          <w:lang w:eastAsia="zh-CN"/>
        </w:rPr>
      </w:pPr>
      <w:r>
        <w:rPr>
          <w:rFonts w:hint="eastAsia" w:ascii="Times New Roman" w:hAnsi="Times New Roman" w:eastAsia="宋体"/>
          <w:sz w:val="24"/>
          <w:szCs w:val="22"/>
          <w:highlight w:val="none"/>
        </w:rPr>
        <w:t>本</w:t>
      </w:r>
      <w:r>
        <w:rPr>
          <w:rFonts w:hint="eastAsia" w:ascii="Times New Roman" w:hAnsi="Times New Roman" w:eastAsia="宋体"/>
          <w:sz w:val="24"/>
          <w:szCs w:val="22"/>
          <w:highlight w:val="none"/>
          <w:lang w:val="en-US" w:eastAsia="zh-CN"/>
        </w:rPr>
        <w:t>文件</w:t>
      </w:r>
      <w:r>
        <w:rPr>
          <w:rFonts w:hint="eastAsia" w:ascii="Times New Roman" w:hAnsi="Times New Roman" w:eastAsia="宋体"/>
          <w:sz w:val="24"/>
          <w:szCs w:val="22"/>
          <w:highlight w:val="none"/>
        </w:rPr>
        <w:t>规定了鳗苗专项特许渔捞日志的术语和定义、总体要求、填写要求与填写说明</w:t>
      </w:r>
      <w:r>
        <w:rPr>
          <w:rFonts w:hint="eastAsia"/>
          <w:sz w:val="24"/>
          <w:szCs w:val="24"/>
          <w:highlight w:val="none"/>
          <w:lang w:eastAsia="zh-CN"/>
        </w:rPr>
        <w:t>，描述了对应的证实方法。主要包括：</w:t>
      </w:r>
    </w:p>
    <w:p w14:paraId="11956C66">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1）术语定义</w:t>
      </w:r>
    </w:p>
    <w:p w14:paraId="28294A79">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首先对标准中的术语对术语的概念进行了描述，表述了其定义，定义，包括鳗苗、渔捞日志、专项捕捞许可、专项捕捞渔船等术语。</w:t>
      </w:r>
    </w:p>
    <w:p w14:paraId="4DAFE7DF">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2）渔船信息</w:t>
      </w:r>
    </w:p>
    <w:p w14:paraId="47EA4200">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应于渔捞日志封面页记录下列渔船相关信息：船名、证书信息、作业类型、渔船所有权人等。</w:t>
      </w:r>
    </w:p>
    <w:p w14:paraId="437769B5">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3）</w:t>
      </w:r>
      <w:r>
        <w:rPr>
          <w:rFonts w:hint="eastAsia"/>
          <w:sz w:val="24"/>
          <w:szCs w:val="24"/>
          <w:highlight w:val="none"/>
          <w:lang w:val="en-US" w:eastAsia="zh-CN"/>
        </w:rPr>
        <w:t>渔捞信息</w:t>
      </w:r>
    </w:p>
    <w:p w14:paraId="3D08DB4B">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包含</w:t>
      </w:r>
      <w:r>
        <w:rPr>
          <w:rFonts w:hint="eastAsia" w:ascii="Times New Roman" w:hAnsi="Times New Roman" w:eastAsia="宋体"/>
          <w:sz w:val="24"/>
          <w:szCs w:val="22"/>
          <w:highlight w:val="none"/>
          <w:lang w:val="en-US" w:eastAsia="zh-CN"/>
        </w:rPr>
        <w:t>作业日期、携带网具数量、放网区域、放网时间、起网开始时间、起网结束时间、起网网具数量、鳗苗数、伤苗数、主要兼捕种类、交易日期、交易单价、交易金额、交易对象、交易地点、船长签名</w:t>
      </w:r>
      <w:r>
        <w:rPr>
          <w:rFonts w:hint="eastAsia"/>
          <w:sz w:val="24"/>
          <w:szCs w:val="24"/>
          <w:highlight w:val="none"/>
          <w:lang w:eastAsia="zh-CN"/>
        </w:rPr>
        <w:t>等。</w:t>
      </w:r>
    </w:p>
    <w:p w14:paraId="44CA7701">
      <w:pPr>
        <w:adjustRightInd w:val="0"/>
        <w:spacing w:line="480" w:lineRule="auto"/>
        <w:ind w:firstLine="643"/>
        <w:outlineLvl w:val="0"/>
        <w:rPr>
          <w:rFonts w:hint="eastAsia" w:ascii="Times New Roman" w:hAnsi="Times New Roman" w:eastAsia="黑体" w:cs="Times New Roman"/>
          <w:b w:val="0"/>
          <w:bCs/>
          <w:kern w:val="44"/>
          <w:sz w:val="32"/>
          <w:szCs w:val="24"/>
          <w:lang w:val="en-US" w:eastAsia="zh-CN" w:bidi="ar-SA"/>
        </w:rPr>
      </w:pPr>
    </w:p>
    <w:p w14:paraId="40D57DC1">
      <w:pPr>
        <w:keepNext w:val="0"/>
        <w:keepLines w:val="0"/>
        <w:pageBreakBefore w:val="0"/>
        <w:widowControl w:val="0"/>
        <w:kinsoku/>
        <w:wordWrap/>
        <w:overflowPunct/>
        <w:topLinePunct w:val="0"/>
        <w:autoSpaceDE/>
        <w:autoSpaceDN/>
        <w:bidi w:val="0"/>
        <w:adjustRightInd w:val="0"/>
        <w:snapToGrid/>
        <w:spacing w:line="480" w:lineRule="auto"/>
        <w:ind w:firstLine="0" w:firstLineChars="0"/>
        <w:textAlignment w:val="auto"/>
        <w:outlineLvl w:val="0"/>
        <w:rPr>
          <w:rFonts w:ascii="仿宋" w:hAnsi="仿宋" w:eastAsia="仿宋"/>
          <w:b/>
          <w:sz w:val="32"/>
          <w:szCs w:val="32"/>
        </w:rPr>
      </w:pPr>
      <w:r>
        <w:rPr>
          <w:rFonts w:hint="eastAsia" w:ascii="Times New Roman" w:hAnsi="Times New Roman" w:eastAsia="黑体" w:cs="Times New Roman"/>
          <w:b w:val="0"/>
          <w:bCs/>
          <w:kern w:val="44"/>
          <w:sz w:val="32"/>
          <w:szCs w:val="24"/>
          <w:lang w:val="en-US" w:eastAsia="zh-CN" w:bidi="ar-SA"/>
        </w:rPr>
        <w:t>三、</w:t>
      </w:r>
      <w:r>
        <w:rPr>
          <w:rFonts w:hint="eastAsia" w:ascii="Times New Roman" w:hAnsi="Times New Roman" w:eastAsia="黑体" w:cs="Times New Roman"/>
          <w:b w:val="0"/>
          <w:bCs/>
          <w:kern w:val="44"/>
          <w:sz w:val="32"/>
          <w:szCs w:val="24"/>
          <w:highlight w:val="none"/>
          <w:lang w:val="en-US" w:eastAsia="zh-CN" w:bidi="ar-SA"/>
        </w:rPr>
        <w:t>主要试验（</w:t>
      </w:r>
      <w:r>
        <w:rPr>
          <w:rFonts w:hint="eastAsia" w:eastAsia="黑体" w:cs="Times New Roman"/>
          <w:b w:val="0"/>
          <w:bCs/>
          <w:kern w:val="44"/>
          <w:sz w:val="32"/>
          <w:szCs w:val="24"/>
          <w:highlight w:val="none"/>
          <w:lang w:val="en-US" w:eastAsia="zh-CN" w:bidi="ar-SA"/>
        </w:rPr>
        <w:t>或</w:t>
      </w:r>
      <w:r>
        <w:rPr>
          <w:rFonts w:hint="eastAsia" w:ascii="Times New Roman" w:hAnsi="Times New Roman" w:eastAsia="黑体" w:cs="Times New Roman"/>
          <w:b w:val="0"/>
          <w:bCs/>
          <w:kern w:val="44"/>
          <w:sz w:val="32"/>
          <w:szCs w:val="24"/>
          <w:highlight w:val="none"/>
          <w:lang w:val="en-US" w:eastAsia="zh-CN" w:bidi="ar-SA"/>
        </w:rPr>
        <w:t>验证）的分析、综述报告，技术经济论证，预期的经济效果</w:t>
      </w:r>
    </w:p>
    <w:p w14:paraId="43AF4728">
      <w:pPr>
        <w:ind w:firstLine="560"/>
        <w:rPr>
          <w:rFonts w:hint="eastAsia"/>
          <w:sz w:val="24"/>
          <w:szCs w:val="24"/>
          <w:highlight w:val="none"/>
          <w:lang w:eastAsia="zh-CN"/>
        </w:rPr>
      </w:pPr>
      <w:r>
        <w:rPr>
          <w:rFonts w:hint="eastAsia" w:ascii="Times New Roman" w:hAnsi="Times New Roman" w:cs="Times New Roman"/>
          <w:sz w:val="24"/>
          <w:szCs w:val="24"/>
          <w:lang w:eastAsia="zh-CN"/>
        </w:rPr>
        <w:t>本标准在编制过程中，编写组系统总结了浙江、上海、江苏、</w:t>
      </w:r>
      <w:r>
        <w:rPr>
          <w:rFonts w:hint="eastAsia" w:ascii="Times New Roman" w:hAnsi="Times New Roman" w:cs="Times New Roman"/>
          <w:sz w:val="24"/>
          <w:szCs w:val="24"/>
          <w:lang w:val="en-US" w:eastAsia="zh-CN"/>
        </w:rPr>
        <w:t>福建及广东</w:t>
      </w:r>
      <w:r>
        <w:rPr>
          <w:rFonts w:hint="eastAsia" w:ascii="Times New Roman" w:hAnsi="Times New Roman" w:cs="Times New Roman"/>
          <w:sz w:val="24"/>
          <w:szCs w:val="24"/>
          <w:lang w:eastAsia="zh-CN"/>
        </w:rPr>
        <w:t>等省市鳗苗专项特许捕捞渔捞日志管理与实践应用中的经验与不足，结合周边省份专项捕捞作业特点，组织了多轮次的专家咨询、管理部门座谈和渔民走访，充分听取了各方意见建议，在此基础上完成了标准技术内容的确定和验证工作。</w:t>
      </w:r>
    </w:p>
    <w:p w14:paraId="6749C9C9">
      <w:pPr>
        <w:numPr>
          <w:ilvl w:val="0"/>
          <w:numId w:val="0"/>
        </w:numPr>
        <w:ind w:left="0" w:leftChars="0" w:firstLine="482" w:firstLineChars="200"/>
        <w:rPr>
          <w:rFonts w:hint="eastAsia"/>
          <w:b/>
          <w:bCs/>
          <w:sz w:val="24"/>
          <w:szCs w:val="24"/>
          <w:highlight w:val="none"/>
          <w:lang w:eastAsia="zh-CN"/>
        </w:rPr>
      </w:pPr>
      <w:r>
        <w:rPr>
          <w:rFonts w:hint="eastAsia"/>
          <w:b/>
          <w:bCs/>
          <w:sz w:val="24"/>
          <w:szCs w:val="24"/>
          <w:highlight w:val="none"/>
          <w:lang w:eastAsia="zh-CN"/>
        </w:rPr>
        <w:t>（一）主要试验（</w:t>
      </w:r>
      <w:r>
        <w:rPr>
          <w:rFonts w:hint="eastAsia"/>
          <w:b/>
          <w:bCs/>
          <w:sz w:val="24"/>
          <w:szCs w:val="24"/>
          <w:highlight w:val="none"/>
          <w:lang w:val="en-US" w:eastAsia="zh-CN"/>
        </w:rPr>
        <w:t>或</w:t>
      </w:r>
      <w:r>
        <w:rPr>
          <w:rFonts w:hint="eastAsia"/>
          <w:b/>
          <w:bCs/>
          <w:sz w:val="24"/>
          <w:szCs w:val="24"/>
          <w:highlight w:val="none"/>
          <w:lang w:eastAsia="zh-CN"/>
        </w:rPr>
        <w:t>验证）的分析</w:t>
      </w:r>
    </w:p>
    <w:p w14:paraId="7E223A63">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本标准的核心设计理念是将渔捞日志填报环节从海上转移至定点上岸码头。为验证这一技术路线的可行性，编写组依托浙江省温州市、台州市、</w:t>
      </w:r>
      <w:r>
        <w:rPr>
          <w:rFonts w:hint="eastAsia"/>
          <w:sz w:val="24"/>
          <w:szCs w:val="24"/>
          <w:highlight w:val="none"/>
          <w:lang w:val="en-US" w:eastAsia="zh-CN"/>
        </w:rPr>
        <w:t>宁波市、舟山市以及嘉兴市</w:t>
      </w:r>
      <w:r>
        <w:rPr>
          <w:rFonts w:hint="eastAsia"/>
          <w:sz w:val="24"/>
          <w:szCs w:val="24"/>
          <w:highlight w:val="none"/>
          <w:lang w:eastAsia="zh-CN"/>
        </w:rPr>
        <w:t>等鳗苗主产区的专项特许捕捞资源监测工作，开展了为期</w:t>
      </w:r>
      <w:r>
        <w:rPr>
          <w:rFonts w:hint="eastAsia"/>
          <w:sz w:val="24"/>
          <w:szCs w:val="24"/>
          <w:highlight w:val="none"/>
          <w:lang w:val="en-US" w:eastAsia="zh-CN"/>
        </w:rPr>
        <w:t>三个月</w:t>
      </w:r>
      <w:r>
        <w:rPr>
          <w:rFonts w:hint="eastAsia"/>
          <w:sz w:val="24"/>
          <w:szCs w:val="24"/>
          <w:highlight w:val="none"/>
          <w:lang w:eastAsia="zh-CN"/>
        </w:rPr>
        <w:t>监测周期的实地验证。验证结果表明：通过“岸上填报”模式，渔民在返港交易时完成日志填报，操作便捷性明显提升，填报耗时较海上实时填报缩短约70%，填报完整率由实施前的不足60%提升至95%以上，数据准确性和可追溯性均得到显著改善。</w:t>
      </w:r>
    </w:p>
    <w:p w14:paraId="0ABFAEAE">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在格式设计方面，编写组对各地现行渔捞日志进行了系统梳理和对比分析，整合形成了统一的日志格式和填报要素，经试点应用验证，该格式能够完整覆盖鳗苗捕捞生产、交易流通及兼捕信息等关键数据，满足资源监测和管理追溯的实际需求。</w:t>
      </w:r>
    </w:p>
    <w:p w14:paraId="43E14827">
      <w:pPr>
        <w:numPr>
          <w:ilvl w:val="0"/>
          <w:numId w:val="0"/>
        </w:numPr>
        <w:ind w:left="0" w:leftChars="0" w:firstLine="480" w:firstLineChars="200"/>
        <w:rPr>
          <w:rFonts w:hint="eastAsia"/>
          <w:sz w:val="24"/>
          <w:szCs w:val="24"/>
          <w:highlight w:val="none"/>
          <w:lang w:eastAsia="zh-CN"/>
        </w:rPr>
      </w:pPr>
      <w:r>
        <w:rPr>
          <w:rFonts w:hint="eastAsia" w:ascii="Times New Roman" w:hAnsi="Times New Roman" w:cs="Times New Roman"/>
          <w:sz w:val="24"/>
          <w:szCs w:val="24"/>
          <w:highlight w:val="none"/>
          <w:lang w:val="en-US" w:eastAsia="zh-CN"/>
        </w:rPr>
        <w:t>此外，</w:t>
      </w:r>
      <w:r>
        <w:rPr>
          <w:rFonts w:hint="eastAsia" w:ascii="Times New Roman" w:hAnsi="Times New Roman" w:cs="Times New Roman"/>
          <w:sz w:val="24"/>
          <w:szCs w:val="24"/>
          <w:highlight w:val="none"/>
          <w:lang w:eastAsia="zh-CN"/>
        </w:rPr>
        <w:t>编写组多次组织与专家学者、渔业管理部门、渔船船长、渔民等进行座谈论证工作，同时结合</w:t>
      </w:r>
      <w:r>
        <w:rPr>
          <w:rFonts w:hint="eastAsia" w:ascii="Times New Roman" w:hAnsi="Times New Roman" w:cs="Times New Roman"/>
          <w:sz w:val="24"/>
          <w:szCs w:val="24"/>
          <w:highlight w:val="none"/>
          <w:lang w:val="en-US" w:eastAsia="zh-CN"/>
        </w:rPr>
        <w:t>鳗苗</w:t>
      </w:r>
      <w:r>
        <w:rPr>
          <w:rFonts w:hint="eastAsia" w:ascii="Times New Roman" w:hAnsi="Times New Roman" w:cs="Times New Roman"/>
          <w:sz w:val="24"/>
          <w:szCs w:val="24"/>
          <w:highlight w:val="none"/>
          <w:lang w:eastAsia="zh-CN"/>
        </w:rPr>
        <w:t>观察员的</w:t>
      </w:r>
      <w:r>
        <w:rPr>
          <w:rFonts w:hint="eastAsia" w:ascii="Times New Roman" w:hAnsi="Times New Roman" w:cs="Times New Roman"/>
          <w:sz w:val="24"/>
          <w:szCs w:val="24"/>
          <w:highlight w:val="none"/>
          <w:lang w:val="en-US" w:eastAsia="zh-CN"/>
        </w:rPr>
        <w:t>资源跟踪监测</w:t>
      </w:r>
      <w:r>
        <w:rPr>
          <w:rFonts w:hint="eastAsia" w:ascii="Times New Roman" w:hAnsi="Times New Roman" w:cs="Times New Roman"/>
          <w:sz w:val="24"/>
          <w:szCs w:val="24"/>
          <w:highlight w:val="none"/>
          <w:lang w:eastAsia="zh-CN"/>
        </w:rPr>
        <w:t>经验，确定了本标准的主要内容，验证了《鳗苗专项特许渔捞日志规范》的科学合理性，证明了本标准的技术可行性。</w:t>
      </w:r>
    </w:p>
    <w:p w14:paraId="469D5B18">
      <w:pPr>
        <w:numPr>
          <w:ilvl w:val="0"/>
          <w:numId w:val="0"/>
        </w:numPr>
        <w:ind w:left="0" w:leftChars="0" w:firstLine="482" w:firstLineChars="200"/>
        <w:rPr>
          <w:rFonts w:hint="eastAsia"/>
          <w:b/>
          <w:bCs/>
          <w:sz w:val="24"/>
          <w:szCs w:val="24"/>
          <w:highlight w:val="none"/>
          <w:lang w:eastAsia="zh-CN"/>
        </w:rPr>
      </w:pPr>
      <w:r>
        <w:rPr>
          <w:rFonts w:hint="eastAsia"/>
          <w:b/>
          <w:bCs/>
          <w:sz w:val="24"/>
          <w:szCs w:val="24"/>
          <w:highlight w:val="none"/>
          <w:lang w:eastAsia="zh-CN"/>
        </w:rPr>
        <w:t>（</w:t>
      </w:r>
      <w:r>
        <w:rPr>
          <w:rFonts w:hint="eastAsia"/>
          <w:b/>
          <w:bCs/>
          <w:sz w:val="24"/>
          <w:szCs w:val="24"/>
          <w:highlight w:val="none"/>
          <w:lang w:val="en-US" w:eastAsia="zh-CN"/>
        </w:rPr>
        <w:t>二</w:t>
      </w:r>
      <w:r>
        <w:rPr>
          <w:rFonts w:hint="eastAsia"/>
          <w:b/>
          <w:bCs/>
          <w:sz w:val="24"/>
          <w:szCs w:val="24"/>
          <w:highlight w:val="none"/>
          <w:lang w:eastAsia="zh-CN"/>
        </w:rPr>
        <w:t>）预期的</w:t>
      </w:r>
      <w:r>
        <w:rPr>
          <w:rFonts w:hint="eastAsia"/>
          <w:b/>
          <w:bCs/>
          <w:sz w:val="24"/>
          <w:szCs w:val="24"/>
          <w:highlight w:val="none"/>
          <w:lang w:val="en-US" w:eastAsia="zh-CN"/>
        </w:rPr>
        <w:t>经济</w:t>
      </w:r>
      <w:r>
        <w:rPr>
          <w:rFonts w:hint="eastAsia"/>
          <w:b/>
          <w:bCs/>
          <w:sz w:val="24"/>
          <w:szCs w:val="24"/>
          <w:highlight w:val="none"/>
          <w:lang w:eastAsia="zh-CN"/>
        </w:rPr>
        <w:t>效益</w:t>
      </w:r>
    </w:p>
    <w:p w14:paraId="096691D4">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1. 管理效益。本标准实施后，将从根本上解决当前鳗苗渔捞日志填报不规范、数据采集标准不统一的问题，为鳗苗专项特许捕捞的限额管理和总量控制提供真实、及时、可追溯的数据支撑，显著提升渔业管理决策的科学性和精准性。</w:t>
      </w:r>
    </w:p>
    <w:p w14:paraId="0E921C7F">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2. 生态效益。通过规范渔捞日志填报，精准掌握鳗苗捕捞量、捕捞努力量及资源变动趋势，为科学评估鳗苗资源状况和制定合理捕捞配额提供依据，有利于保障鳗苗资源的可持续利用，促进鳗苗种群的恢复和养护。</w:t>
      </w:r>
    </w:p>
    <w:p w14:paraId="578634F9">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3. 经济效益。渔民通过“岸上填报”模式，可大幅降低海上作业期间的填报负担，提高生产效率；管理部门通过标准化的数据采集和汇总，可减少数据核验和统计的人力、时间成本。据估算，本标准实施后，鳗苗专项捕捞数据汇总周期可缩短约30%，管理成本可降低约20%。</w:t>
      </w:r>
    </w:p>
    <w:p w14:paraId="6FD99DFF">
      <w:pPr>
        <w:numPr>
          <w:ilvl w:val="0"/>
          <w:numId w:val="0"/>
        </w:numPr>
        <w:ind w:left="0" w:leftChars="0" w:firstLine="480" w:firstLineChars="200"/>
        <w:rPr>
          <w:rFonts w:hint="eastAsia"/>
          <w:sz w:val="24"/>
          <w:szCs w:val="24"/>
          <w:highlight w:val="none"/>
          <w:lang w:eastAsia="zh-CN"/>
        </w:rPr>
      </w:pPr>
      <w:r>
        <w:rPr>
          <w:rFonts w:hint="eastAsia"/>
          <w:sz w:val="24"/>
          <w:szCs w:val="24"/>
          <w:highlight w:val="none"/>
          <w:lang w:eastAsia="zh-CN"/>
        </w:rPr>
        <w:t>4. 社会效益。本标准的制定与实施，填补了鳗苗专项特许捕捞渔捞日志规范化领域的标准空白，为全国鳗苗专项捕捞管理提供了统一的技术规范，有利于推动我国海洋渔业精细化、标准化管理水平的整体提升，为其他特种渔业资源的规范化管理提供可借鉴的经验。</w:t>
      </w:r>
    </w:p>
    <w:p w14:paraId="6F731B5C">
      <w:pPr>
        <w:adjustRightInd w:val="0"/>
        <w:spacing w:line="480" w:lineRule="auto"/>
        <w:ind w:left="0" w:leftChars="0" w:firstLine="0" w:firstLineChars="0"/>
        <w:outlineLvl w:val="0"/>
        <w:rPr>
          <w:rFonts w:hint="eastAsia" w:ascii="Times New Roman" w:hAnsi="Times New Roman" w:eastAsia="黑体" w:cs="Times New Roman"/>
          <w:b w:val="0"/>
          <w:bCs/>
          <w:kern w:val="44"/>
          <w:sz w:val="32"/>
          <w:szCs w:val="24"/>
          <w:lang w:val="en-US" w:eastAsia="zh-CN" w:bidi="ar-SA"/>
        </w:rPr>
      </w:pPr>
    </w:p>
    <w:p w14:paraId="7D4325CF">
      <w:pPr>
        <w:keepNext w:val="0"/>
        <w:keepLines w:val="0"/>
        <w:pageBreakBefore w:val="0"/>
        <w:widowControl w:val="0"/>
        <w:kinsoku/>
        <w:wordWrap/>
        <w:overflowPunct/>
        <w:topLinePunct w:val="0"/>
        <w:autoSpaceDE/>
        <w:autoSpaceDN/>
        <w:bidi w:val="0"/>
        <w:adjustRightInd w:val="0"/>
        <w:snapToGrid/>
        <w:spacing w:line="480" w:lineRule="auto"/>
        <w:ind w:firstLine="0" w:firstLineChars="0"/>
        <w:textAlignment w:val="auto"/>
        <w:outlineLvl w:val="0"/>
        <w:rPr>
          <w:rFonts w:hint="eastAsia" w:ascii="Times New Roman" w:hAnsi="Times New Roman" w:eastAsia="黑体" w:cs="Times New Roman"/>
          <w:b w:val="0"/>
          <w:bCs/>
          <w:kern w:val="44"/>
          <w:sz w:val="32"/>
          <w:szCs w:val="24"/>
          <w:lang w:val="en-US" w:eastAsia="zh-CN" w:bidi="ar-SA"/>
        </w:rPr>
      </w:pPr>
      <w:r>
        <w:rPr>
          <w:rFonts w:hint="eastAsia" w:eastAsia="黑体" w:cs="Times New Roman"/>
          <w:b w:val="0"/>
          <w:bCs/>
          <w:kern w:val="44"/>
          <w:sz w:val="32"/>
          <w:szCs w:val="24"/>
          <w:lang w:val="en-US" w:eastAsia="zh-CN" w:bidi="ar-SA"/>
        </w:rPr>
        <w:t>四</w:t>
      </w:r>
      <w:r>
        <w:rPr>
          <w:rFonts w:hint="eastAsia" w:ascii="Times New Roman" w:hAnsi="Times New Roman" w:eastAsia="黑体" w:cs="Times New Roman"/>
          <w:b w:val="0"/>
          <w:bCs/>
          <w:kern w:val="44"/>
          <w:sz w:val="32"/>
          <w:szCs w:val="24"/>
          <w:lang w:val="en-US" w:eastAsia="zh-CN" w:bidi="ar-SA"/>
        </w:rPr>
        <w:t>、与国际、国外同类标准水平的对比情况，或与测试的国外样品有关数据的对比情况</w:t>
      </w:r>
    </w:p>
    <w:p w14:paraId="56288418">
      <w:pPr>
        <w:ind w:firstLine="560"/>
        <w:rPr>
          <w:rFonts w:hint="eastAsia" w:ascii="Times New Roman" w:hAnsi="Times New Roman" w:cs="Times New Roman"/>
        </w:rPr>
      </w:pPr>
      <w:r>
        <w:rPr>
          <w:rFonts w:hint="eastAsia" w:ascii="Times New Roman" w:hAnsi="Times New Roman" w:cs="Times New Roman"/>
          <w:sz w:val="24"/>
          <w:szCs w:val="24"/>
        </w:rPr>
        <w:t>经检索全国标准信息公告服务平台及国际标准化组织（ISO）等国内外标准数据库，目前未检索到与“鳗苗专项特许渔捞日志”相关的国际标准、国外先进标准或国外同类标准。</w:t>
      </w:r>
      <w:r>
        <w:rPr>
          <w:rFonts w:hint="eastAsia" w:ascii="Times New Roman" w:hAnsi="Times New Roman" w:cs="Times New Roman"/>
          <w:sz w:val="24"/>
          <w:szCs w:val="24"/>
          <w:lang w:val="en-US" w:eastAsia="zh-CN"/>
        </w:rPr>
        <w:t>同时</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联合国粮食及农业组织（FAO）发布的《常规捕捞渔业数据收集指南》等文件虽对渔捞日志的数据采集提出了通用性框架和要求，但均未针对鳗苗专项特许捕捞这一特定管理场景，制定专门的渔捞日志格式和填报规范标准。在国内层面，亦无“鳗苗专项特许”相关的国家标准或行业标准发布。本标准属于首次制定，填补了鳗苗专项特许捕捞渔捞日志规范化领域的标准空白。</w:t>
      </w:r>
    </w:p>
    <w:p w14:paraId="3E73FBD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cs="Times New Roman"/>
        </w:rPr>
      </w:pPr>
      <w:r>
        <w:drawing>
          <wp:inline distT="0" distB="0" distL="114300" distR="114300">
            <wp:extent cx="5153025" cy="2397125"/>
            <wp:effectExtent l="0" t="0" r="3175" b="317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5"/>
                    <a:stretch>
                      <a:fillRect/>
                    </a:stretch>
                  </pic:blipFill>
                  <pic:spPr>
                    <a:xfrm>
                      <a:off x="0" y="0"/>
                      <a:ext cx="5153025" cy="2397125"/>
                    </a:xfrm>
                    <a:prstGeom prst="rect">
                      <a:avLst/>
                    </a:prstGeom>
                    <a:noFill/>
                    <a:ln>
                      <a:noFill/>
                    </a:ln>
                  </pic:spPr>
                </pic:pic>
              </a:graphicData>
            </a:graphic>
          </wp:inline>
        </w:drawing>
      </w:r>
    </w:p>
    <w:p w14:paraId="42839B90">
      <w:pPr>
        <w:keepNext w:val="0"/>
        <w:keepLines w:val="0"/>
        <w:pageBreakBefore w:val="0"/>
        <w:widowControl w:val="0"/>
        <w:kinsoku/>
        <w:wordWrap/>
        <w:overflowPunct/>
        <w:topLinePunct w:val="0"/>
        <w:autoSpaceDE/>
        <w:autoSpaceDN/>
        <w:bidi w:val="0"/>
        <w:adjustRightInd/>
        <w:snapToGrid/>
        <w:ind w:firstLine="0" w:firstLineChars="0"/>
        <w:textAlignment w:val="auto"/>
      </w:pPr>
      <w:r>
        <w:drawing>
          <wp:inline distT="0" distB="0" distL="114300" distR="114300">
            <wp:extent cx="5002530" cy="3695065"/>
            <wp:effectExtent l="0" t="0" r="1270" b="63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6"/>
                    <a:stretch>
                      <a:fillRect/>
                    </a:stretch>
                  </pic:blipFill>
                  <pic:spPr>
                    <a:xfrm>
                      <a:off x="0" y="0"/>
                      <a:ext cx="5002530" cy="3695065"/>
                    </a:xfrm>
                    <a:prstGeom prst="rect">
                      <a:avLst/>
                    </a:prstGeom>
                    <a:noFill/>
                    <a:ln>
                      <a:noFill/>
                    </a:ln>
                  </pic:spPr>
                </pic:pic>
              </a:graphicData>
            </a:graphic>
          </wp:inline>
        </w:drawing>
      </w:r>
    </w:p>
    <w:p w14:paraId="17B1EB99">
      <w:pPr>
        <w:keepNext w:val="0"/>
        <w:keepLines w:val="0"/>
        <w:pageBreakBefore w:val="0"/>
        <w:widowControl w:val="0"/>
        <w:kinsoku/>
        <w:wordWrap/>
        <w:overflowPunct/>
        <w:topLinePunct w:val="0"/>
        <w:autoSpaceDE/>
        <w:autoSpaceDN/>
        <w:bidi w:val="0"/>
        <w:adjustRightInd/>
        <w:snapToGrid/>
        <w:ind w:firstLine="0" w:firstLineChars="0"/>
        <w:textAlignment w:val="auto"/>
      </w:pPr>
    </w:p>
    <w:p w14:paraId="58E4561A">
      <w:pPr>
        <w:keepNext w:val="0"/>
        <w:keepLines w:val="0"/>
        <w:pageBreakBefore w:val="0"/>
        <w:widowControl w:val="0"/>
        <w:kinsoku/>
        <w:wordWrap/>
        <w:overflowPunct/>
        <w:topLinePunct w:val="0"/>
        <w:autoSpaceDE/>
        <w:autoSpaceDN/>
        <w:bidi w:val="0"/>
        <w:adjustRightInd/>
        <w:snapToGrid/>
        <w:ind w:firstLine="0" w:firstLineChars="0"/>
        <w:textAlignment w:val="auto"/>
      </w:pPr>
      <w:r>
        <w:drawing>
          <wp:inline distT="0" distB="0" distL="114300" distR="114300">
            <wp:extent cx="5262880" cy="3988435"/>
            <wp:effectExtent l="0" t="0" r="7620" b="1206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7"/>
                    <a:stretch>
                      <a:fillRect/>
                    </a:stretch>
                  </pic:blipFill>
                  <pic:spPr>
                    <a:xfrm>
                      <a:off x="0" y="0"/>
                      <a:ext cx="5262880" cy="3988435"/>
                    </a:xfrm>
                    <a:prstGeom prst="rect">
                      <a:avLst/>
                    </a:prstGeom>
                    <a:noFill/>
                    <a:ln>
                      <a:noFill/>
                    </a:ln>
                  </pic:spPr>
                </pic:pic>
              </a:graphicData>
            </a:graphic>
          </wp:inline>
        </w:drawing>
      </w:r>
    </w:p>
    <w:p w14:paraId="743BE342">
      <w:pPr>
        <w:keepNext w:val="0"/>
        <w:keepLines w:val="0"/>
        <w:pageBreakBefore w:val="0"/>
        <w:widowControl w:val="0"/>
        <w:kinsoku/>
        <w:wordWrap/>
        <w:overflowPunct/>
        <w:topLinePunct w:val="0"/>
        <w:autoSpaceDE/>
        <w:autoSpaceDN/>
        <w:bidi w:val="0"/>
        <w:adjustRightInd w:val="0"/>
        <w:snapToGrid/>
        <w:spacing w:line="480" w:lineRule="auto"/>
        <w:ind w:firstLine="0" w:firstLineChars="0"/>
        <w:textAlignment w:val="auto"/>
        <w:outlineLvl w:val="0"/>
        <w:rPr>
          <w:rFonts w:hint="eastAsia" w:ascii="Times New Roman" w:hAnsi="Times New Roman" w:eastAsia="黑体" w:cs="Times New Roman"/>
          <w:b w:val="0"/>
          <w:bCs/>
          <w:kern w:val="44"/>
          <w:sz w:val="32"/>
          <w:szCs w:val="24"/>
          <w:lang w:val="en-US" w:eastAsia="zh-CN" w:bidi="ar-SA"/>
        </w:rPr>
      </w:pPr>
      <w:r>
        <w:rPr>
          <w:rFonts w:hint="eastAsia" w:eastAsia="黑体" w:cs="Times New Roman"/>
          <w:b w:val="0"/>
          <w:bCs/>
          <w:kern w:val="44"/>
          <w:sz w:val="32"/>
          <w:szCs w:val="24"/>
          <w:lang w:val="en-US" w:eastAsia="zh-CN" w:bidi="ar-SA"/>
        </w:rPr>
        <w:t>五</w:t>
      </w:r>
      <w:r>
        <w:rPr>
          <w:rFonts w:hint="eastAsia" w:ascii="Times New Roman" w:hAnsi="Times New Roman" w:eastAsia="黑体" w:cs="Times New Roman"/>
          <w:b w:val="0"/>
          <w:bCs/>
          <w:kern w:val="44"/>
          <w:sz w:val="32"/>
          <w:szCs w:val="24"/>
          <w:lang w:val="en-US" w:eastAsia="zh-CN" w:bidi="ar-SA"/>
        </w:rPr>
        <w:t>、与现有相关法律法规及相关标准的</w:t>
      </w:r>
      <w:r>
        <w:rPr>
          <w:rFonts w:hint="eastAsia" w:eastAsia="黑体" w:cs="Times New Roman"/>
          <w:b w:val="0"/>
          <w:bCs/>
          <w:kern w:val="44"/>
          <w:sz w:val="32"/>
          <w:szCs w:val="24"/>
          <w:lang w:val="en-US" w:eastAsia="zh-CN" w:bidi="ar-SA"/>
        </w:rPr>
        <w:t>关系</w:t>
      </w:r>
    </w:p>
    <w:p w14:paraId="4F8BB5CF">
      <w:pPr>
        <w:ind w:firstLine="56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本标准的制定与实施符合2025年12月27日修订通过、自2026年5月1日起施行的《中华人民共和国渔业法》的相关规定，以及《农业农村部办公厅关于做好鳗苗生产管理工作的通知》（农办渔〔2023〕39号）、《农业农村部办公厅关于做好2024—2025年鳗苗生产管理工作的通知》（农办渔〔2024〕13号）和《农业农村部办公厅关于做好2025—2026年鳗苗生产管理工作的通知》（农办渔〔2025〕27号）等政策文件的要求。</w:t>
      </w:r>
    </w:p>
    <w:p w14:paraId="39D86E2B">
      <w:pPr>
        <w:ind w:firstLine="56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标准在编制过程中，参考了国家、行业有关标准，与现行法律、法规和强制性标准无冲突。通过资料调研，目前国外尚无与本文件对应的鳗苗专项特许渔捞日志规范的同类标准，本文件填补了该领域的标准化空白。</w:t>
      </w:r>
    </w:p>
    <w:p w14:paraId="6C528703">
      <w:pPr>
        <w:ind w:firstLine="560"/>
        <w:rPr>
          <w:rFonts w:hint="eastAsia" w:ascii="Times New Roman" w:hAnsi="Times New Roman" w:cs="Times New Roman"/>
          <w:sz w:val="24"/>
          <w:szCs w:val="24"/>
          <w:lang w:val="en-US" w:eastAsia="zh-CN"/>
        </w:rPr>
      </w:pPr>
    </w:p>
    <w:p w14:paraId="748B7CDE">
      <w:pPr>
        <w:adjustRightInd w:val="0"/>
        <w:spacing w:line="480" w:lineRule="auto"/>
        <w:ind w:left="0" w:leftChars="0" w:firstLine="0" w:firstLineChars="0"/>
        <w:outlineLvl w:val="0"/>
        <w:rPr>
          <w:rFonts w:hint="eastAsia" w:ascii="Times New Roman" w:hAnsi="Times New Roman" w:eastAsia="黑体" w:cs="Times New Roman"/>
          <w:b w:val="0"/>
          <w:bCs/>
          <w:kern w:val="44"/>
          <w:sz w:val="32"/>
          <w:szCs w:val="24"/>
          <w:lang w:val="en-US" w:eastAsia="zh-CN" w:bidi="ar-SA"/>
        </w:rPr>
      </w:pPr>
      <w:r>
        <w:rPr>
          <w:rFonts w:hint="eastAsia" w:eastAsia="黑体" w:cs="Times New Roman"/>
          <w:b w:val="0"/>
          <w:bCs/>
          <w:kern w:val="44"/>
          <w:sz w:val="32"/>
          <w:szCs w:val="24"/>
          <w:lang w:val="en-US" w:eastAsia="zh-CN" w:bidi="ar-SA"/>
        </w:rPr>
        <w:t>六</w:t>
      </w:r>
      <w:r>
        <w:rPr>
          <w:rFonts w:hint="eastAsia" w:ascii="Times New Roman" w:hAnsi="Times New Roman" w:eastAsia="黑体" w:cs="Times New Roman"/>
          <w:b w:val="0"/>
          <w:bCs/>
          <w:kern w:val="44"/>
          <w:sz w:val="32"/>
          <w:szCs w:val="24"/>
          <w:lang w:val="en-US" w:eastAsia="zh-CN" w:bidi="ar-SA"/>
        </w:rPr>
        <w:t>、重大意见分歧的处理经过和依据</w:t>
      </w:r>
    </w:p>
    <w:p w14:paraId="6CF852A3">
      <w:pPr>
        <w:ind w:firstLine="56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w:t>
      </w:r>
      <w:r>
        <w:rPr>
          <w:rFonts w:hint="eastAsia" w:cs="Times New Roman"/>
          <w:sz w:val="24"/>
          <w:szCs w:val="24"/>
          <w:lang w:val="en-US" w:eastAsia="zh-CN"/>
        </w:rPr>
        <w:t>标准</w:t>
      </w:r>
      <w:r>
        <w:rPr>
          <w:rFonts w:hint="eastAsia" w:ascii="Times New Roman" w:hAnsi="Times New Roman" w:cs="Times New Roman"/>
          <w:sz w:val="24"/>
          <w:szCs w:val="24"/>
          <w:lang w:val="en-US" w:eastAsia="zh-CN"/>
        </w:rPr>
        <w:t>在制定过程中，广泛征求了有关专家和研究、生产、管理单位的体等各方意见，没有出现重大分歧意见。如果将来出现重大分歧意见，将根据我国</w:t>
      </w:r>
      <w:r>
        <w:rPr>
          <w:rFonts w:hint="eastAsia" w:cs="Times New Roman"/>
          <w:sz w:val="24"/>
          <w:szCs w:val="24"/>
          <w:lang w:val="en-US" w:eastAsia="zh-CN"/>
        </w:rPr>
        <w:t>鳗苗专项捕捞的</w:t>
      </w:r>
      <w:r>
        <w:rPr>
          <w:rFonts w:hint="eastAsia" w:ascii="Times New Roman" w:hAnsi="Times New Roman" w:cs="Times New Roman"/>
          <w:sz w:val="24"/>
          <w:szCs w:val="24"/>
          <w:lang w:val="en-US" w:eastAsia="zh-CN"/>
        </w:rPr>
        <w:t>实际情况，按照标准化工作的原则，协商解决。</w:t>
      </w:r>
    </w:p>
    <w:p w14:paraId="6CC83F12">
      <w:pPr>
        <w:ind w:firstLine="560"/>
        <w:rPr>
          <w:rFonts w:hint="eastAsia" w:ascii="Times New Roman" w:hAnsi="Times New Roman" w:cs="Times New Roman"/>
          <w:sz w:val="24"/>
          <w:szCs w:val="24"/>
          <w:lang w:val="en-US" w:eastAsia="zh-CN"/>
        </w:rPr>
      </w:pPr>
    </w:p>
    <w:p w14:paraId="0A850FA3">
      <w:pPr>
        <w:adjustRightInd w:val="0"/>
        <w:spacing w:line="480" w:lineRule="auto"/>
        <w:ind w:left="0" w:leftChars="0" w:firstLine="0" w:firstLineChars="0"/>
        <w:outlineLvl w:val="0"/>
        <w:rPr>
          <w:rFonts w:hint="eastAsia" w:ascii="Times New Roman" w:hAnsi="Times New Roman" w:eastAsia="黑体" w:cs="Times New Roman"/>
          <w:b w:val="0"/>
          <w:bCs/>
          <w:kern w:val="44"/>
          <w:sz w:val="32"/>
          <w:szCs w:val="24"/>
          <w:lang w:val="en-US" w:eastAsia="zh-CN" w:bidi="ar-SA"/>
        </w:rPr>
      </w:pPr>
      <w:r>
        <w:rPr>
          <w:rFonts w:hint="eastAsia" w:eastAsia="黑体" w:cs="Times New Roman"/>
          <w:b w:val="0"/>
          <w:bCs/>
          <w:kern w:val="44"/>
          <w:sz w:val="32"/>
          <w:szCs w:val="24"/>
          <w:lang w:val="en-US" w:eastAsia="zh-CN" w:bidi="ar-SA"/>
        </w:rPr>
        <w:t>七</w:t>
      </w:r>
      <w:r>
        <w:rPr>
          <w:rFonts w:hint="eastAsia" w:ascii="Times New Roman" w:hAnsi="Times New Roman" w:eastAsia="黑体" w:cs="Times New Roman"/>
          <w:b w:val="0"/>
          <w:bCs/>
          <w:kern w:val="44"/>
          <w:sz w:val="32"/>
          <w:szCs w:val="24"/>
          <w:lang w:val="en-US" w:eastAsia="zh-CN" w:bidi="ar-SA"/>
        </w:rPr>
        <w:t>、标准涉及的相关知识产权说明</w:t>
      </w:r>
    </w:p>
    <w:p w14:paraId="266763FD">
      <w:pPr>
        <w:ind w:firstLine="560"/>
        <w:rPr>
          <w:rFonts w:hint="eastAsia" w:ascii="Times New Roman" w:hAnsi="Times New Roman" w:cs="Times New Roman"/>
          <w:sz w:val="24"/>
          <w:szCs w:val="24"/>
          <w:lang w:val="en-US" w:eastAsia="zh-CN"/>
        </w:rPr>
      </w:pPr>
      <w:r>
        <w:rPr>
          <w:rFonts w:hint="eastAsia" w:cs="Times New Roman"/>
          <w:sz w:val="24"/>
          <w:szCs w:val="24"/>
          <w:lang w:val="en-US" w:eastAsia="zh-CN"/>
        </w:rPr>
        <w:t>本标准在</w:t>
      </w:r>
      <w:r>
        <w:rPr>
          <w:rFonts w:hint="eastAsia" w:ascii="Times New Roman" w:hAnsi="Times New Roman" w:cs="Times New Roman"/>
          <w:sz w:val="24"/>
          <w:szCs w:val="24"/>
          <w:lang w:val="en-US" w:eastAsia="zh-CN"/>
        </w:rPr>
        <w:t>制定过程中</w:t>
      </w:r>
      <w:r>
        <w:rPr>
          <w:rFonts w:hint="eastAsia" w:cs="Times New Roman"/>
          <w:sz w:val="24"/>
          <w:szCs w:val="24"/>
          <w:lang w:val="en-US" w:eastAsia="zh-CN"/>
        </w:rPr>
        <w:t>，</w:t>
      </w:r>
      <w:r>
        <w:rPr>
          <w:rFonts w:ascii="Segoe UI" w:hAnsi="Segoe UI" w:eastAsia="Segoe UI" w:cs="Segoe UI"/>
          <w:i w:val="0"/>
          <w:iCs w:val="0"/>
          <w:caps w:val="0"/>
          <w:color w:val="0F1115"/>
          <w:spacing w:val="0"/>
          <w:sz w:val="24"/>
          <w:szCs w:val="24"/>
          <w:shd w:val="clear" w:fill="FFFFFF"/>
        </w:rPr>
        <w:t>以鳗苗专项特许捕捞的渔捞日志记录要素、填报规范、交易信息记录及数据追溯要求为主，属于渔业管理流程与数据记录规范，不涉及专利，不存在知识产权争议，符合团体标准编制的知识产权合规要求。</w:t>
      </w:r>
    </w:p>
    <w:p w14:paraId="1C0E6590">
      <w:pPr>
        <w:pStyle w:val="2"/>
        <w:spacing w:before="156" w:after="156"/>
        <w:rPr>
          <w:rFonts w:ascii="Times New Roman" w:hAnsi="Times New Roman"/>
          <w:b w:val="0"/>
          <w:bCs/>
          <w:sz w:val="32"/>
          <w:szCs w:val="24"/>
        </w:rPr>
      </w:pPr>
      <w:bookmarkStart w:id="1" w:name="_Toc25380"/>
      <w:bookmarkStart w:id="2" w:name="_Toc25251"/>
      <w:bookmarkStart w:id="3" w:name="_Toc24319"/>
      <w:bookmarkStart w:id="4" w:name="_Toc16044"/>
      <w:r>
        <w:rPr>
          <w:rFonts w:hint="eastAsia"/>
          <w:b w:val="0"/>
          <w:bCs/>
          <w:sz w:val="32"/>
          <w:szCs w:val="24"/>
          <w:lang w:val="en-US" w:eastAsia="zh-CN"/>
        </w:rPr>
        <w:t>八</w:t>
      </w:r>
      <w:r>
        <w:rPr>
          <w:rFonts w:hint="eastAsia" w:ascii="Times New Roman" w:hAnsi="Times New Roman"/>
          <w:b w:val="0"/>
          <w:bCs/>
          <w:sz w:val="32"/>
          <w:szCs w:val="24"/>
        </w:rPr>
        <w:t>、</w:t>
      </w:r>
      <w:bookmarkEnd w:id="1"/>
      <w:bookmarkEnd w:id="2"/>
      <w:bookmarkEnd w:id="3"/>
      <w:bookmarkEnd w:id="4"/>
      <w:r>
        <w:rPr>
          <w:rFonts w:hint="eastAsia" w:ascii="Times New Roman" w:hAnsi="Times New Roman"/>
          <w:b w:val="0"/>
          <w:bCs/>
          <w:sz w:val="32"/>
          <w:szCs w:val="24"/>
        </w:rPr>
        <w:t>实施国家标准的要求以及组织措施、技术措施、过渡期和实施日期的建议等措施建议</w:t>
      </w:r>
    </w:p>
    <w:p w14:paraId="53EFA524">
      <w:pPr>
        <w:ind w:firstLine="560"/>
        <w:rPr>
          <w:rFonts w:hint="eastAsia" w:ascii="Times New Roman" w:hAnsi="Times New Roman" w:eastAsia="宋体" w:cs="Times New Roman"/>
          <w:b w:val="0"/>
          <w:kern w:val="2"/>
          <w:sz w:val="24"/>
          <w:szCs w:val="24"/>
          <w:lang w:val="en-US" w:eastAsia="zh-CN" w:bidi="ar-SA"/>
        </w:rPr>
      </w:pPr>
      <w:bookmarkStart w:id="5" w:name="_Toc208205381_WPSOffice_Level1"/>
      <w:bookmarkStart w:id="6" w:name="_Toc14406"/>
      <w:r>
        <w:rPr>
          <w:rFonts w:hint="eastAsia" w:ascii="Times New Roman" w:hAnsi="Times New Roman" w:cs="Times New Roman"/>
          <w:sz w:val="24"/>
          <w:szCs w:val="24"/>
          <w:lang w:val="en-US" w:eastAsia="zh-CN"/>
        </w:rPr>
        <w:t>本文件为团体标准，供国内鳗苗专项特许捕捞管理相关部门、渔业资源监测单位及相关科研机构自愿采用，建议作为推荐性标准。</w:t>
      </w:r>
      <w:bookmarkEnd w:id="5"/>
      <w:bookmarkEnd w:id="6"/>
      <w:bookmarkStart w:id="7" w:name="_Toc7418"/>
      <w:bookmarkStart w:id="8" w:name="_Toc1056977504_WPSOffice_Level1"/>
      <w:bookmarkStart w:id="9" w:name="_Toc1305"/>
      <w:r>
        <w:rPr>
          <w:rFonts w:hint="eastAsia" w:ascii="Times New Roman" w:hAnsi="Times New Roman" w:eastAsia="宋体" w:cs="Times New Roman"/>
          <w:b w:val="0"/>
          <w:kern w:val="2"/>
          <w:sz w:val="24"/>
          <w:szCs w:val="24"/>
          <w:lang w:val="en-US" w:eastAsia="zh-CN" w:bidi="ar-SA"/>
        </w:rPr>
        <w:t>为保障标准的有效实施，提出以下措施建议：</w:t>
      </w:r>
    </w:p>
    <w:p w14:paraId="3346A79D">
      <w:pPr>
        <w:numPr>
          <w:ilvl w:val="0"/>
          <w:numId w:val="3"/>
        </w:numPr>
        <w:ind w:firstLine="560"/>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组织措施。 标准发布后，由归口单位中国水产学会秘书处统一组织，在标准实施日期前开展标准宣贯工作。宣贯对象主要为鳗苗专项特许捕捞管理相关的各级渔业主管部门、科研监测单位及渔业协会等。宣贯形式可采用集中培训、视频会议、发放宣贯材料等多种方式，确保相关方及时了解和掌握标准的技术内容。</w:t>
      </w:r>
    </w:p>
    <w:p w14:paraId="092F7826">
      <w:pPr>
        <w:numPr>
          <w:ilvl w:val="0"/>
          <w:numId w:val="3"/>
        </w:numPr>
        <w:ind w:firstLine="560"/>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技术措施。标准发布后，编写组将配合归口单位编制标准实施指南或操作手册，对渔捞日志的格式要求、填报规范、数据采集标准等内容进行详细解读。同时，可通过建立标准实施技术咨询渠道，及时解答实施过程中遇到的技术问题。</w:t>
      </w:r>
    </w:p>
    <w:p w14:paraId="1887F05D">
      <w:pPr>
        <w:numPr>
          <w:ilvl w:val="0"/>
          <w:numId w:val="3"/>
        </w:numPr>
        <w:ind w:firstLine="560"/>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过渡期和实施日期。考虑到标准使用者需要时间熟悉新的日志格式和填报要求，建议本标准自发布之日起12个月后实施。在此期间，归口单位将组织开展标准宣贯培训，编写组配合做好技术指导工作。通过上述措施，本标准在12个月的过渡期内可得到有效贯彻和落实。标准实施后，归口单位将根据实际应用情况适时组织标准复审，确保标准内容的持续适用性</w:t>
      </w:r>
    </w:p>
    <w:p w14:paraId="7406CDAD">
      <w:pPr>
        <w:pStyle w:val="2"/>
        <w:spacing w:before="156" w:after="156"/>
        <w:rPr>
          <w:rFonts w:hint="eastAsia" w:ascii="Times New Roman" w:hAnsi="Times New Roman"/>
          <w:b w:val="0"/>
          <w:bCs/>
          <w:sz w:val="32"/>
          <w:szCs w:val="24"/>
        </w:rPr>
      </w:pPr>
      <w:r>
        <w:rPr>
          <w:rFonts w:hint="eastAsia"/>
          <w:b w:val="0"/>
          <w:bCs/>
          <w:sz w:val="32"/>
          <w:szCs w:val="24"/>
          <w:lang w:val="en-US" w:eastAsia="zh-CN"/>
        </w:rPr>
        <w:t>九</w:t>
      </w:r>
      <w:r>
        <w:rPr>
          <w:rFonts w:hint="eastAsia" w:ascii="Times New Roman" w:hAnsi="Times New Roman"/>
          <w:b w:val="0"/>
          <w:bCs/>
          <w:sz w:val="32"/>
          <w:szCs w:val="24"/>
        </w:rPr>
        <w:t>、</w:t>
      </w:r>
      <w:bookmarkEnd w:id="7"/>
      <w:bookmarkEnd w:id="8"/>
      <w:bookmarkEnd w:id="9"/>
      <w:r>
        <w:rPr>
          <w:rFonts w:hint="eastAsia" w:ascii="Times New Roman" w:hAnsi="Times New Roman"/>
          <w:b w:val="0"/>
          <w:bCs/>
          <w:sz w:val="32"/>
          <w:szCs w:val="24"/>
        </w:rPr>
        <w:t>其他应予说明的事项</w:t>
      </w:r>
    </w:p>
    <w:p w14:paraId="38F77578">
      <w:pPr>
        <w:pStyle w:val="2"/>
        <w:spacing w:before="156" w:after="156"/>
        <w:ind w:firstLine="480" w:firstLineChars="200"/>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无。</w:t>
      </w:r>
    </w:p>
    <w:p w14:paraId="37C75C47">
      <w:pPr>
        <w:jc w:val="right"/>
        <w:rPr>
          <w:rFonts w:hint="eastAsia" w:ascii="Times New Roman" w:hAnsi="Times New Roman" w:eastAsia="宋体"/>
          <w:szCs w:val="24"/>
          <w:lang w:eastAsia="zh-CN"/>
        </w:rPr>
      </w:pPr>
      <w:r>
        <w:rPr>
          <w:rFonts w:ascii="Times New Roman" w:hAnsi="Times New Roman"/>
          <w:szCs w:val="24"/>
        </w:rPr>
        <w:t>《</w:t>
      </w:r>
      <w:r>
        <w:rPr>
          <w:rFonts w:hint="eastAsia" w:ascii="Times New Roman" w:hAnsi="Times New Roman"/>
          <w:szCs w:val="24"/>
        </w:rPr>
        <w:t>鳗苗专项特许渔捞日志规范</w:t>
      </w:r>
      <w:r>
        <w:rPr>
          <w:rFonts w:ascii="Times New Roman" w:hAnsi="Times New Roman"/>
          <w:szCs w:val="24"/>
        </w:rPr>
        <w:t>》</w:t>
      </w:r>
      <w:r>
        <w:rPr>
          <w:rFonts w:hint="eastAsia"/>
          <w:szCs w:val="24"/>
          <w:lang w:eastAsia="zh-CN"/>
        </w:rPr>
        <w:t>编写组</w:t>
      </w:r>
    </w:p>
    <w:p w14:paraId="429370AB">
      <w:pPr>
        <w:ind w:firstLine="5040" w:firstLineChars="1800"/>
        <w:jc w:val="left"/>
        <w:rPr>
          <w:rFonts w:ascii="Times New Roman" w:hAnsi="Times New Roman"/>
          <w:szCs w:val="24"/>
        </w:rPr>
      </w:pPr>
      <w:r>
        <w:rPr>
          <w:rFonts w:ascii="Times New Roman" w:hAnsi="Times New Roman"/>
          <w:szCs w:val="24"/>
        </w:rPr>
        <w:t>20</w:t>
      </w:r>
      <w:r>
        <w:rPr>
          <w:rFonts w:hint="eastAsia" w:ascii="Times New Roman" w:hAnsi="Times New Roman"/>
          <w:szCs w:val="24"/>
          <w:lang w:val="en-US" w:eastAsia="zh-CN"/>
        </w:rPr>
        <w:t>26</w:t>
      </w:r>
      <w:r>
        <w:rPr>
          <w:rFonts w:hint="eastAsia" w:ascii="Times New Roman" w:hAnsi="Times New Roman"/>
          <w:szCs w:val="24"/>
        </w:rPr>
        <w:t>年</w:t>
      </w:r>
      <w:r>
        <w:rPr>
          <w:rFonts w:hint="eastAsia"/>
          <w:szCs w:val="24"/>
          <w:lang w:val="en-US" w:eastAsia="zh-CN"/>
        </w:rPr>
        <w:t>10</w:t>
      </w:r>
      <w:r>
        <w:rPr>
          <w:rFonts w:hint="eastAsia" w:ascii="Times New Roman" w:hAnsi="Times New Roman"/>
          <w:szCs w:val="24"/>
        </w:rPr>
        <w:t>月</w:t>
      </w:r>
    </w:p>
    <w:p w14:paraId="0AE5E1CB">
      <w:pPr>
        <w:ind w:firstLine="560"/>
      </w:pP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p>
  </w:endnote>
  <w:endnote w:type="continuationSeparator" w:id="1">
    <w:p>
      <w:pPr>
        <w:spacing w:line="240" w:lineRule="auto"/>
        <w:ind w:firstLine="56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FZShuSong-Z01">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F3C74">
    <w:pPr>
      <w:pStyle w:val="5"/>
      <w:ind w:firstLine="360"/>
      <w:jc w:val="center"/>
    </w:pPr>
  </w:p>
  <w:p w14:paraId="7DA17C93">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473F0">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9FF65">
    <w:pPr>
      <w:pStyle w:val="5"/>
      <w:ind w:firstLine="360"/>
      <w:jc w:val="center"/>
    </w:pPr>
    <w:r>
      <w:fldChar w:fldCharType="begin"/>
    </w:r>
    <w:r>
      <w:instrText xml:space="preserve"> PAGE   \* MERGEFORMAT </w:instrText>
    </w:r>
    <w:r>
      <w:fldChar w:fldCharType="separate"/>
    </w:r>
    <w:r>
      <w:rPr>
        <w:lang w:val="zh-CN"/>
      </w:rPr>
      <w:t>1</w:t>
    </w:r>
    <w:r>
      <w:rPr>
        <w:lang w:val="zh-CN"/>
      </w:rPr>
      <w:fldChar w:fldCharType="end"/>
    </w:r>
  </w:p>
  <w:p w14:paraId="24825266">
    <w:pPr>
      <w:pStyle w:val="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3818537"/>
      <w:docPartObj>
        <w:docPartGallery w:val="autotext"/>
      </w:docPartObj>
    </w:sdtPr>
    <w:sdtContent>
      <w:p w14:paraId="679D363C">
        <w:pPr>
          <w:pStyle w:val="5"/>
          <w:ind w:firstLine="360"/>
          <w:jc w:val="center"/>
        </w:pPr>
        <w:r>
          <w:fldChar w:fldCharType="begin"/>
        </w:r>
        <w:r>
          <w:instrText xml:space="preserve">PAGE   \* MERGEFORMAT</w:instrText>
        </w:r>
        <w:r>
          <w:fldChar w:fldCharType="separate"/>
        </w:r>
        <w:r>
          <w:rPr>
            <w:lang w:val="zh-CN"/>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p>
  </w:footnote>
  <w:footnote w:type="continuationSeparator" w:id="1">
    <w:p>
      <w:pPr>
        <w:spacing w:line="360" w:lineRule="auto"/>
        <w:ind w:firstLine="56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6B962">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DACFA">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A0269">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3B112E"/>
    <w:multiLevelType w:val="singleLevel"/>
    <w:tmpl w:val="A53B112E"/>
    <w:lvl w:ilvl="0" w:tentative="0">
      <w:start w:val="3"/>
      <w:numFmt w:val="decimal"/>
      <w:suff w:val="space"/>
      <w:lvlText w:val="%1."/>
      <w:lvlJc w:val="left"/>
    </w:lvl>
  </w:abstractNum>
  <w:abstractNum w:abstractNumId="1">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7"/>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787B6635"/>
    <w:multiLevelType w:val="singleLevel"/>
    <w:tmpl w:val="787B6635"/>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D1"/>
    <w:rsid w:val="0000480D"/>
    <w:rsid w:val="0012360F"/>
    <w:rsid w:val="00130373"/>
    <w:rsid w:val="001D578B"/>
    <w:rsid w:val="0037673A"/>
    <w:rsid w:val="005900E9"/>
    <w:rsid w:val="00780980"/>
    <w:rsid w:val="008878D1"/>
    <w:rsid w:val="009D04D1"/>
    <w:rsid w:val="00AF01FA"/>
    <w:rsid w:val="00CB6D34"/>
    <w:rsid w:val="00DC500F"/>
    <w:rsid w:val="00F164C9"/>
    <w:rsid w:val="051554AC"/>
    <w:rsid w:val="05C14B18"/>
    <w:rsid w:val="05E870B3"/>
    <w:rsid w:val="079254DA"/>
    <w:rsid w:val="079F3753"/>
    <w:rsid w:val="08491D27"/>
    <w:rsid w:val="09273A00"/>
    <w:rsid w:val="0AFE2800"/>
    <w:rsid w:val="0BB21CA6"/>
    <w:rsid w:val="0C3628D7"/>
    <w:rsid w:val="0C3B1F61"/>
    <w:rsid w:val="0C662A91"/>
    <w:rsid w:val="0C6D65E4"/>
    <w:rsid w:val="0CCC6D98"/>
    <w:rsid w:val="0D3D7AF4"/>
    <w:rsid w:val="1178543D"/>
    <w:rsid w:val="123D6042"/>
    <w:rsid w:val="14D534DC"/>
    <w:rsid w:val="17AD77C6"/>
    <w:rsid w:val="18534811"/>
    <w:rsid w:val="185D2F9A"/>
    <w:rsid w:val="19267830"/>
    <w:rsid w:val="19FA2E53"/>
    <w:rsid w:val="1AF06347"/>
    <w:rsid w:val="1DED4DC0"/>
    <w:rsid w:val="1E3B2F45"/>
    <w:rsid w:val="1ECC2C27"/>
    <w:rsid w:val="1ECE2E43"/>
    <w:rsid w:val="1ED61CF8"/>
    <w:rsid w:val="214116AB"/>
    <w:rsid w:val="2173162C"/>
    <w:rsid w:val="22D51927"/>
    <w:rsid w:val="22D95913"/>
    <w:rsid w:val="239D245E"/>
    <w:rsid w:val="24CF6FCD"/>
    <w:rsid w:val="26A637DA"/>
    <w:rsid w:val="27743E5C"/>
    <w:rsid w:val="27943657"/>
    <w:rsid w:val="29862181"/>
    <w:rsid w:val="2D686211"/>
    <w:rsid w:val="2E494294"/>
    <w:rsid w:val="2ECB50CE"/>
    <w:rsid w:val="2F854E58"/>
    <w:rsid w:val="306437F7"/>
    <w:rsid w:val="312A2407"/>
    <w:rsid w:val="31304EAA"/>
    <w:rsid w:val="324803BF"/>
    <w:rsid w:val="32700042"/>
    <w:rsid w:val="33FD3B57"/>
    <w:rsid w:val="34667EC7"/>
    <w:rsid w:val="34C208FD"/>
    <w:rsid w:val="36821AE6"/>
    <w:rsid w:val="36EA68C4"/>
    <w:rsid w:val="37904CE2"/>
    <w:rsid w:val="37DF5322"/>
    <w:rsid w:val="38CA7D80"/>
    <w:rsid w:val="396957EB"/>
    <w:rsid w:val="3AD65DFD"/>
    <w:rsid w:val="3B7952A3"/>
    <w:rsid w:val="3BC66F24"/>
    <w:rsid w:val="3BED7479"/>
    <w:rsid w:val="3BFC46F4"/>
    <w:rsid w:val="3CE33B06"/>
    <w:rsid w:val="3D483969"/>
    <w:rsid w:val="3E4660FB"/>
    <w:rsid w:val="3EC41689"/>
    <w:rsid w:val="40C854ED"/>
    <w:rsid w:val="453C3DB3"/>
    <w:rsid w:val="45C06792"/>
    <w:rsid w:val="467D54C0"/>
    <w:rsid w:val="479B579B"/>
    <w:rsid w:val="4C79769B"/>
    <w:rsid w:val="4CA66A2C"/>
    <w:rsid w:val="4E4F4B57"/>
    <w:rsid w:val="51B573C7"/>
    <w:rsid w:val="53241A90"/>
    <w:rsid w:val="53D61877"/>
    <w:rsid w:val="58B101BD"/>
    <w:rsid w:val="59862AA1"/>
    <w:rsid w:val="59C728D7"/>
    <w:rsid w:val="5AA004E9"/>
    <w:rsid w:val="5CC04E72"/>
    <w:rsid w:val="5DFC012C"/>
    <w:rsid w:val="5E3E6996"/>
    <w:rsid w:val="5F697B29"/>
    <w:rsid w:val="615C33BC"/>
    <w:rsid w:val="61ED04B8"/>
    <w:rsid w:val="62692F20"/>
    <w:rsid w:val="62A124C9"/>
    <w:rsid w:val="65332685"/>
    <w:rsid w:val="687758A1"/>
    <w:rsid w:val="6D5533B5"/>
    <w:rsid w:val="6E996569"/>
    <w:rsid w:val="6EF015E7"/>
    <w:rsid w:val="703B2C38"/>
    <w:rsid w:val="71197CEF"/>
    <w:rsid w:val="71AF12E6"/>
    <w:rsid w:val="724063E2"/>
    <w:rsid w:val="76AC3175"/>
    <w:rsid w:val="76AF3B36"/>
    <w:rsid w:val="77EE07F9"/>
    <w:rsid w:val="77F739E6"/>
    <w:rsid w:val="78320EC2"/>
    <w:rsid w:val="78574485"/>
    <w:rsid w:val="78B243A8"/>
    <w:rsid w:val="7A0E5017"/>
    <w:rsid w:val="7A804B23"/>
    <w:rsid w:val="7E1A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8"/>
      <w:szCs w:val="22"/>
      <w:lang w:val="en-US" w:eastAsia="zh-CN" w:bidi="ar-SA"/>
    </w:rPr>
  </w:style>
  <w:style w:type="paragraph" w:styleId="2">
    <w:name w:val="heading 1"/>
    <w:basedOn w:val="1"/>
    <w:next w:val="1"/>
    <w:qFormat/>
    <w:uiPriority w:val="0"/>
    <w:pPr>
      <w:keepNext/>
      <w:keepLines/>
      <w:spacing w:before="50" w:beforeLines="50" w:beforeAutospacing="0" w:after="50" w:afterLines="50" w:afterAutospacing="0" w:line="360" w:lineRule="auto"/>
      <w:ind w:firstLine="0" w:firstLineChars="0"/>
      <w:outlineLvl w:val="0"/>
    </w:pPr>
    <w:rPr>
      <w:rFonts w:eastAsia="黑体"/>
      <w:b/>
      <w:kern w:val="44"/>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pPr>
      <w:spacing w:line="240" w:lineRule="auto"/>
    </w:pPr>
    <w:rPr>
      <w:sz w:val="18"/>
      <w:szCs w:val="18"/>
    </w:rPr>
  </w:style>
  <w:style w:type="paragraph" w:styleId="5">
    <w:name w:val="footer"/>
    <w:basedOn w:val="1"/>
    <w:link w:val="14"/>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7">
    <w:name w:val="footnote text"/>
    <w:basedOn w:val="1"/>
    <w:link w:val="15"/>
    <w:semiHidden/>
    <w:unhideWhenUsed/>
    <w:qFormat/>
    <w:uiPriority w:val="99"/>
    <w:pPr>
      <w:snapToGrid w:val="0"/>
      <w:jc w:val="left"/>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otnote reference"/>
    <w:basedOn w:val="11"/>
    <w:semiHidden/>
    <w:unhideWhenUsed/>
    <w:qFormat/>
    <w:uiPriority w:val="99"/>
    <w:rPr>
      <w:vertAlign w:val="superscript"/>
    </w:rPr>
  </w:style>
  <w:style w:type="character" w:customStyle="1" w:styleId="13">
    <w:name w:val="页眉 Char"/>
    <w:basedOn w:val="11"/>
    <w:link w:val="6"/>
    <w:qFormat/>
    <w:uiPriority w:val="99"/>
    <w:rPr>
      <w:sz w:val="18"/>
      <w:szCs w:val="18"/>
    </w:rPr>
  </w:style>
  <w:style w:type="character" w:customStyle="1" w:styleId="14">
    <w:name w:val="页脚 Char"/>
    <w:basedOn w:val="11"/>
    <w:link w:val="5"/>
    <w:qFormat/>
    <w:uiPriority w:val="99"/>
    <w:rPr>
      <w:sz w:val="18"/>
      <w:szCs w:val="18"/>
    </w:rPr>
  </w:style>
  <w:style w:type="character" w:customStyle="1" w:styleId="15">
    <w:name w:val="脚注文本 Char"/>
    <w:basedOn w:val="11"/>
    <w:link w:val="7"/>
    <w:semiHidden/>
    <w:qFormat/>
    <w:uiPriority w:val="99"/>
    <w:rPr>
      <w:rFonts w:ascii="Times New Roman" w:hAnsi="Times New Roman" w:eastAsia="宋体" w:cs="Times New Roman"/>
      <w:sz w:val="18"/>
      <w:szCs w:val="18"/>
    </w:rPr>
  </w:style>
  <w:style w:type="character" w:customStyle="1" w:styleId="16">
    <w:name w:val="批注框文本 Char"/>
    <w:basedOn w:val="11"/>
    <w:link w:val="4"/>
    <w:semiHidden/>
    <w:qFormat/>
    <w:uiPriority w:val="99"/>
    <w:rPr>
      <w:rFonts w:ascii="Times New Roman" w:hAnsi="Times New Roman" w:eastAsia="宋体" w:cs="Times New Roman"/>
      <w:sz w:val="18"/>
      <w:szCs w:val="18"/>
    </w:rPr>
  </w:style>
  <w:style w:type="paragraph" w:customStyle="1" w:styleId="17">
    <w:name w:val="一级条标题"/>
    <w:next w:val="18"/>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10267</Words>
  <Characters>10475</Characters>
  <Lines>22</Lines>
  <Paragraphs>6</Paragraphs>
  <TotalTime>1</TotalTime>
  <ScaleCrop>false</ScaleCrop>
  <LinksUpToDate>false</LinksUpToDate>
  <CharactersWithSpaces>10491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2024-05-16T03:14:00Z</dcterms:created>
  <dc:creator>user</dc:creator>
  <cp:lastModifiedBy>乔治</cp:lastModifiedBy>
  <cp:lastPrinted>2026-09-18T01:32:00Z</cp:lastPrinted>
  <dcterms:modified xsi:type="dcterms:W3CDTF">2026-10-15T08:38:35Z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BB674273C82C4EC497BAC73E537E274A_13</vt:lpwstr>
  </property>
  <property fmtid="{D5CDD505-2E9C-101B-9397-08002B2CF9AE}" pid="4" name="KSOTemplateDocerSaveRecord">
    <vt:lpwstr>eyJoZGlkIjoiZmIwODE0Y2EwZWJmOGNhOTk2ZGQ2OGExNTQ5M2I1ZjYiLCJ1c2VySWQiOiIzMjcxMDE2NTcifQ==</vt:lpwstr>
  </property>
</Properties>
</file>